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38DF67" w14:textId="07F541F9" w:rsidR="00894CD1" w:rsidRDefault="00394A56" w:rsidP="00894CD1">
      <w:pPr>
        <w:jc w:val="center"/>
        <w:rPr>
          <w:b/>
          <w:bCs/>
          <w:sz w:val="32"/>
          <w:szCs w:val="32"/>
          <w:lang w:val="de-DE"/>
        </w:rPr>
      </w:pPr>
      <w:bookmarkStart w:id="0" w:name="_GoBack"/>
      <w:bookmarkEnd w:id="0"/>
      <w:r w:rsidRPr="00E67FEB">
        <w:rPr>
          <w:rFonts w:ascii="inherit" w:hAnsi="inherit" w:cs="Arial"/>
          <w:noProof/>
          <w:color w:val="304C59"/>
          <w:kern w:val="36"/>
          <w:sz w:val="48"/>
          <w:szCs w:val="48"/>
          <w:lang w:val="de-DE"/>
        </w:rPr>
        <w:drawing>
          <wp:anchor distT="0" distB="0" distL="114300" distR="114300" simplePos="0" relativeHeight="251661312" behindDoc="1" locked="0" layoutInCell="1" allowOverlap="1" wp14:anchorId="0E879C2D" wp14:editId="3A5DAF6D">
            <wp:simplePos x="0" y="0"/>
            <wp:positionH relativeFrom="margin">
              <wp:posOffset>1417114</wp:posOffset>
            </wp:positionH>
            <wp:positionV relativeFrom="paragraph">
              <wp:posOffset>0</wp:posOffset>
            </wp:positionV>
            <wp:extent cx="2420620" cy="641985"/>
            <wp:effectExtent l="0" t="0" r="0" b="0"/>
            <wp:wrapTight wrapText="bothSides">
              <wp:wrapPolygon edited="0">
                <wp:start x="850" y="3205"/>
                <wp:lineTo x="850" y="17947"/>
                <wp:lineTo x="20569" y="17947"/>
                <wp:lineTo x="20909" y="12178"/>
                <wp:lineTo x="19379" y="4487"/>
                <wp:lineTo x="18699" y="3205"/>
                <wp:lineTo x="850" y="3205"/>
              </wp:wrapPolygon>
            </wp:wrapTight>
            <wp:docPr id="4" name="Grafik 4" descr="C:\Users\DetermannC\AppData\Local\Microsoft\Windows\INetCache\Content.Outlook\40F0LT2P\FEEI-Basislogo-PNG-w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termannC\AppData\Local\Microsoft\Windows\INetCache\Content.Outlook\40F0LT2P\FEEI-Basislogo-PNG-wid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20620" cy="641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2CC9">
        <w:rPr>
          <w:rFonts w:ascii="inherit" w:hAnsi="inherit" w:cs="Arial"/>
          <w:noProof/>
          <w:color w:val="304C59"/>
          <w:kern w:val="36"/>
          <w:sz w:val="48"/>
          <w:szCs w:val="48"/>
          <w:lang w:val="de-DE"/>
        </w:rPr>
        <w:drawing>
          <wp:anchor distT="0" distB="0" distL="114300" distR="114300" simplePos="0" relativeHeight="251659264" behindDoc="1" locked="0" layoutInCell="1" allowOverlap="1" wp14:anchorId="16D9673B" wp14:editId="66F0B337">
            <wp:simplePos x="0" y="0"/>
            <wp:positionH relativeFrom="margin">
              <wp:posOffset>-423751</wp:posOffset>
            </wp:positionH>
            <wp:positionV relativeFrom="paragraph">
              <wp:posOffset>1905</wp:posOffset>
            </wp:positionV>
            <wp:extent cx="1556385" cy="617220"/>
            <wp:effectExtent l="0" t="0" r="5715" b="0"/>
            <wp:wrapThrough wrapText="bothSides">
              <wp:wrapPolygon edited="0">
                <wp:start x="0" y="0"/>
                <wp:lineTo x="0" y="20667"/>
                <wp:lineTo x="21415" y="20667"/>
                <wp:lineTo x="21415" y="0"/>
                <wp:lineTo x="0" y="0"/>
              </wp:wrapPolygon>
            </wp:wrapThrough>
            <wp:docPr id="1" name="Grafik 1" descr="C:\Users\DetermannC\Desktop\wko_UBIT_Logo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termannC\Desktop\wko_UBIT_Logo_.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6385" cy="617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23E3">
        <w:rPr>
          <w:b/>
          <w:bCs/>
          <w:noProof/>
          <w:sz w:val="32"/>
          <w:szCs w:val="32"/>
          <w:lang w:val="de-DE"/>
        </w:rPr>
        <w:drawing>
          <wp:anchor distT="0" distB="0" distL="114300" distR="114300" simplePos="0" relativeHeight="251662336" behindDoc="0" locked="0" layoutInCell="1" allowOverlap="1" wp14:anchorId="6976D954" wp14:editId="6A964C9B">
            <wp:simplePos x="0" y="0"/>
            <wp:positionH relativeFrom="column">
              <wp:posOffset>4005151</wp:posOffset>
            </wp:positionH>
            <wp:positionV relativeFrom="paragraph">
              <wp:posOffset>162560</wp:posOffset>
            </wp:positionV>
            <wp:extent cx="2308860" cy="255270"/>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TI_Schriftzug_Claim.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08860" cy="255270"/>
                    </a:xfrm>
                    <a:prstGeom prst="rect">
                      <a:avLst/>
                    </a:prstGeom>
                  </pic:spPr>
                </pic:pic>
              </a:graphicData>
            </a:graphic>
            <wp14:sizeRelH relativeFrom="margin">
              <wp14:pctWidth>0</wp14:pctWidth>
            </wp14:sizeRelH>
            <wp14:sizeRelV relativeFrom="margin">
              <wp14:pctHeight>0</wp14:pctHeight>
            </wp14:sizeRelV>
          </wp:anchor>
        </w:drawing>
      </w:r>
    </w:p>
    <w:p w14:paraId="4D01092B" w14:textId="2F4331D6" w:rsidR="00894CD1" w:rsidRDefault="00894CD1" w:rsidP="00894CD1">
      <w:pPr>
        <w:jc w:val="center"/>
        <w:rPr>
          <w:b/>
          <w:bCs/>
          <w:sz w:val="32"/>
          <w:szCs w:val="32"/>
          <w:lang w:val="de-DE"/>
        </w:rPr>
      </w:pPr>
    </w:p>
    <w:p w14:paraId="40D1585B" w14:textId="4327EDA6" w:rsidR="00894CD1" w:rsidRDefault="00894CD1" w:rsidP="00894CD1">
      <w:pPr>
        <w:jc w:val="center"/>
        <w:rPr>
          <w:b/>
          <w:bCs/>
          <w:sz w:val="32"/>
          <w:szCs w:val="32"/>
          <w:lang w:val="de-DE"/>
        </w:rPr>
      </w:pPr>
    </w:p>
    <w:p w14:paraId="7BF9D3D2" w14:textId="758F87A2" w:rsidR="00894CD1" w:rsidRDefault="00894CD1" w:rsidP="00894CD1">
      <w:pPr>
        <w:jc w:val="center"/>
        <w:rPr>
          <w:b/>
          <w:bCs/>
          <w:sz w:val="32"/>
          <w:szCs w:val="32"/>
          <w:lang w:val="de-DE"/>
        </w:rPr>
      </w:pPr>
    </w:p>
    <w:p w14:paraId="5310CB5C" w14:textId="77777777" w:rsidR="00FB6CBA" w:rsidRDefault="00FB6CBA" w:rsidP="00894CD1">
      <w:pPr>
        <w:jc w:val="center"/>
        <w:rPr>
          <w:b/>
          <w:bCs/>
          <w:sz w:val="32"/>
          <w:szCs w:val="32"/>
          <w:lang w:val="de-DE"/>
        </w:rPr>
      </w:pPr>
    </w:p>
    <w:p w14:paraId="2E9DC77D" w14:textId="38557B1C" w:rsidR="00894CD1" w:rsidRPr="00681E0D" w:rsidRDefault="00D014E1" w:rsidP="00894CD1">
      <w:pPr>
        <w:jc w:val="center"/>
        <w:rPr>
          <w:b/>
          <w:bCs/>
          <w:sz w:val="32"/>
          <w:szCs w:val="32"/>
          <w:lang w:val="de-DE"/>
        </w:rPr>
      </w:pPr>
      <w:r w:rsidRPr="00681E0D">
        <w:rPr>
          <w:b/>
          <w:sz w:val="32"/>
          <w:szCs w:val="32"/>
        </w:rPr>
        <w:t>Studie zu</w:t>
      </w:r>
      <w:r w:rsidR="0097395F" w:rsidRPr="00681E0D">
        <w:rPr>
          <w:b/>
          <w:sz w:val="32"/>
          <w:szCs w:val="32"/>
        </w:rPr>
        <w:t xml:space="preserve"> IT-Qualifikationen für die österreichische Wirtschaft </w:t>
      </w:r>
    </w:p>
    <w:p w14:paraId="65EE9B30" w14:textId="77777777" w:rsidR="0097395F" w:rsidRDefault="0097395F" w:rsidP="00894CD1">
      <w:pPr>
        <w:jc w:val="center"/>
        <w:rPr>
          <w:b/>
          <w:bCs/>
          <w:sz w:val="32"/>
          <w:szCs w:val="32"/>
          <w:lang w:val="de-DE"/>
        </w:rPr>
      </w:pPr>
    </w:p>
    <w:p w14:paraId="31AE0920" w14:textId="2EDF91DD" w:rsidR="00894CD1" w:rsidRPr="00022FAF" w:rsidRDefault="00D014E1" w:rsidP="00894CD1">
      <w:pPr>
        <w:spacing w:line="276" w:lineRule="auto"/>
        <w:jc w:val="center"/>
        <w:rPr>
          <w:b/>
          <w:bCs/>
          <w:i/>
          <w:iCs/>
          <w:sz w:val="28"/>
          <w:szCs w:val="24"/>
          <w:lang w:val="de-DE"/>
        </w:rPr>
      </w:pPr>
      <w:r w:rsidRPr="00022FAF">
        <w:rPr>
          <w:b/>
          <w:bCs/>
          <w:i/>
          <w:iCs/>
          <w:sz w:val="28"/>
          <w:szCs w:val="24"/>
          <w:lang w:val="de-DE"/>
        </w:rPr>
        <w:t>Executive Summary</w:t>
      </w:r>
    </w:p>
    <w:p w14:paraId="5F76534C" w14:textId="61E4A417" w:rsidR="001400D1" w:rsidRDefault="001400D1" w:rsidP="00022FAF">
      <w:pPr>
        <w:spacing w:line="276" w:lineRule="auto"/>
        <w:rPr>
          <w:rFonts w:ascii="Calibri" w:hAnsi="Calibri" w:cs="Calibri"/>
          <w:b/>
          <w:bCs/>
          <w:lang w:val="de-DE" w:eastAsia="en-US"/>
        </w:rPr>
      </w:pPr>
    </w:p>
    <w:p w14:paraId="3994AC91" w14:textId="77777777" w:rsidR="00A114E6" w:rsidRDefault="00A114E6" w:rsidP="00A114E6">
      <w:r>
        <w:t>Der di</w:t>
      </w:r>
      <w:r>
        <w:softHyphen/>
        <w:t>gitale Wandel ist als alles durch</w:t>
      </w:r>
      <w:r>
        <w:softHyphen/>
        <w:t>dringende Querschnittsmaterie der bedeutendste Megatrend und Innovationstreiber des 21. Jahr</w:t>
      </w:r>
      <w:r>
        <w:softHyphen/>
        <w:t>hunderts. Digitalisierung ist keineswegs nur ein technischer und ökonomischer, sondern ein tiefgreifen</w:t>
      </w:r>
      <w:r>
        <w:softHyphen/>
        <w:t xml:space="preserve">der gesamtgesellschaftlicher Transformationsprozess. Somit ist der Umgang mit der digitalen Transformation eine zentrale Herausforderung, sowohl für Bildungseinrichtungen als auch für Unternehmen. </w:t>
      </w:r>
    </w:p>
    <w:p w14:paraId="17ACF8C4" w14:textId="77777777" w:rsidR="00A114E6" w:rsidRDefault="00A114E6" w:rsidP="00A114E6">
      <w:pPr>
        <w:rPr>
          <w:highlight w:val="yellow"/>
        </w:rPr>
      </w:pPr>
    </w:p>
    <w:p w14:paraId="61D0329F" w14:textId="77777777" w:rsidR="00A114E6" w:rsidRDefault="00A114E6" w:rsidP="00A114E6">
      <w:r>
        <w:t>Der digitale Wandel eröffnet einerseits Möglichkeiten und Chancen, stellt die Unternehmen gleichzeitig aber vor große Herausforderungen und verschärft die Wettbewerbssituation. Neben begrenzten finanziellen Möglichkeiten stellen fehlende MitarbeiterInnen und fehlendes Know-how (Kompetenzen der Beschäftigten) die bestimmenden Hem</w:t>
      </w:r>
      <w:r>
        <w:softHyphen/>
        <w:t>mnisse im Rahmen der digitalen Transformation von heimischen Unternehmen dar.</w:t>
      </w:r>
    </w:p>
    <w:p w14:paraId="0B32D92E" w14:textId="77777777" w:rsidR="00A114E6" w:rsidRDefault="00A114E6" w:rsidP="00A114E6">
      <w:pPr>
        <w:rPr>
          <w:highlight w:val="yellow"/>
        </w:rPr>
      </w:pPr>
    </w:p>
    <w:p w14:paraId="38C25DE7" w14:textId="77777777" w:rsidR="00A114E6" w:rsidRDefault="00A114E6" w:rsidP="00A114E6">
      <w:r>
        <w:t>Digitalisierung führt dazu, dass sich Anforderungen an die MitarbeiterInnen ändern. Eine zunehmende Automatisierung von Produktionsprozessen, neue Tätigkeitsbereiche sowie ein steigender Einfluss von künstlicher Intelligenz variieren den menschlichen Beitrag zu Wertschöpfungsprozessen und die benötigten Qualifikationen und Kompetenzen.</w:t>
      </w:r>
    </w:p>
    <w:p w14:paraId="1399367F" w14:textId="77777777" w:rsidR="00A114E6" w:rsidRDefault="00A114E6" w:rsidP="00A114E6">
      <w:pPr>
        <w:rPr>
          <w:highlight w:val="yellow"/>
        </w:rPr>
      </w:pPr>
    </w:p>
    <w:p w14:paraId="77CC55DD" w14:textId="77777777" w:rsidR="00A114E6" w:rsidRDefault="00A114E6" w:rsidP="00A114E6">
      <w:pPr>
        <w:rPr>
          <w:highlight w:val="yellow"/>
        </w:rPr>
      </w:pPr>
    </w:p>
    <w:p w14:paraId="7506F42C" w14:textId="77777777" w:rsidR="00A114E6" w:rsidRPr="00A114E6" w:rsidRDefault="00A114E6" w:rsidP="00A114E6">
      <w:pPr>
        <w:rPr>
          <w:b/>
          <w:bCs/>
          <w:i/>
          <w:iCs/>
          <w:sz w:val="24"/>
          <w:szCs w:val="24"/>
        </w:rPr>
      </w:pPr>
      <w:r w:rsidRPr="00A114E6">
        <w:rPr>
          <w:b/>
          <w:bCs/>
          <w:i/>
          <w:iCs/>
          <w:sz w:val="24"/>
          <w:szCs w:val="24"/>
        </w:rPr>
        <w:t>IT-Qualifikationen als Voraussetzung für zukünftige Wettbewerbsfähigkeit</w:t>
      </w:r>
    </w:p>
    <w:p w14:paraId="26D2239D" w14:textId="77777777" w:rsidR="00A114E6" w:rsidRDefault="00A114E6" w:rsidP="00A114E6">
      <w:pPr>
        <w:rPr>
          <w:highlight w:val="yellow"/>
        </w:rPr>
      </w:pPr>
    </w:p>
    <w:p w14:paraId="66ACF99A" w14:textId="77777777" w:rsidR="00A114E6" w:rsidRDefault="00A114E6" w:rsidP="00A114E6">
      <w:r>
        <w:t xml:space="preserve">Qualifikation ist ein entscheidender Wettbewerbsfaktor und mit nachhaltigem Wachstum sowie der Zukunftsfähigkeit einer Region bzw. Volkswirtschaft verknüpft. Die Herausforderungen des digitalen Wandels bewirken umfangreiche Transformationsprozesse und erfordern eine passende Ausrichtung von Aus- und Weiterbildung auf künftig gefragte Qualifikationen und Anforderungsprofile. Damit wird der adäquate Umgang mit der digitalen Transformation zur zentralen Bildungsherausforderung auf allen Bildungsebenen. </w:t>
      </w:r>
    </w:p>
    <w:p w14:paraId="14F0724C" w14:textId="77777777" w:rsidR="00A114E6" w:rsidRDefault="00A114E6" w:rsidP="00A114E6"/>
    <w:p w14:paraId="675D8FEB" w14:textId="77777777" w:rsidR="00A114E6" w:rsidRDefault="00A114E6" w:rsidP="00A114E6">
      <w:r>
        <w:t>Es sind Strategien notwendig, um mit Aus- und Weiterbildung den digitalen Wandel in Österreich auf allen Stufen zielgerecht zu unterstützen, denn bereits jetzt kann die hohe Nachfrage nach bzw. ein anhaltend hoher Bedarf an IT-Kräften und qua</w:t>
      </w:r>
      <w:r>
        <w:softHyphen/>
        <w:t>lifizierten MitarbeiterInnen mit Digitalisierungs-Kompetenzen nicht gedeckt werden.</w:t>
      </w:r>
    </w:p>
    <w:p w14:paraId="0B672110" w14:textId="77777777" w:rsidR="00A114E6" w:rsidRDefault="00A114E6" w:rsidP="00A114E6">
      <w:pPr>
        <w:rPr>
          <w:highlight w:val="yellow"/>
        </w:rPr>
      </w:pPr>
    </w:p>
    <w:p w14:paraId="0E6C0B80" w14:textId="77777777" w:rsidR="00A114E6" w:rsidRDefault="00A114E6" w:rsidP="00A114E6">
      <w:pPr>
        <w:rPr>
          <w:highlight w:val="yellow"/>
        </w:rPr>
      </w:pPr>
    </w:p>
    <w:p w14:paraId="6201F92D" w14:textId="77777777" w:rsidR="00A114E6" w:rsidRPr="00A114E6" w:rsidRDefault="00A114E6" w:rsidP="00A114E6">
      <w:pPr>
        <w:rPr>
          <w:b/>
          <w:bCs/>
          <w:i/>
          <w:iCs/>
          <w:sz w:val="24"/>
          <w:szCs w:val="24"/>
        </w:rPr>
      </w:pPr>
      <w:r w:rsidRPr="00A114E6">
        <w:rPr>
          <w:b/>
          <w:bCs/>
          <w:i/>
          <w:iCs/>
          <w:sz w:val="24"/>
          <w:szCs w:val="24"/>
        </w:rPr>
        <w:t>IWI-Studie „IT-Qualifikationen für die österreichische Wirtschaft“</w:t>
      </w:r>
    </w:p>
    <w:p w14:paraId="00C11EB9" w14:textId="77777777" w:rsidR="00A114E6" w:rsidRDefault="00A114E6" w:rsidP="00A114E6"/>
    <w:p w14:paraId="0BC45DDA" w14:textId="77777777" w:rsidR="00A114E6" w:rsidRDefault="00A114E6" w:rsidP="00A114E6">
      <w:r>
        <w:t>Die vorliegende Studie des IWI soll dazu beitragen, IT-Nachfragestrukturen in der österreichischen Wirtschaft besser bzw. differenzierter erfassen zu können und diese dem Angebot auf dem heimischen Bildungsmarkt gegenüberzustellen. Es wird der IT-</w:t>
      </w:r>
      <w:r>
        <w:lastRenderedPageBreak/>
        <w:t xml:space="preserve">Qualifikationsbedarf in der gesamten Unternehmenslandschaft Österreichs dargestellt und Hinweise auf Entwicklungen und Spannungsfelder aufgezeigt. </w:t>
      </w:r>
    </w:p>
    <w:p w14:paraId="075121FB" w14:textId="77777777" w:rsidR="00A114E6" w:rsidRDefault="00A114E6" w:rsidP="00A114E6"/>
    <w:p w14:paraId="4E91587C" w14:textId="77777777" w:rsidR="00A114E6" w:rsidRDefault="00A114E6" w:rsidP="00A114E6">
      <w:pPr>
        <w:rPr>
          <w:highlight w:val="yellow"/>
        </w:rPr>
      </w:pPr>
      <w:r>
        <w:t>Für die Analyse wird ein operationalisierbares Spektrum an IT-Kompetenzen definiert, welches fachspezifisch abgegrenzt und in folgende sechs IT-Qualifika</w:t>
      </w:r>
      <w:r>
        <w:softHyphen/>
        <w:t xml:space="preserve">tionsfelder unterteilt werden kann: </w:t>
      </w:r>
      <w:r>
        <w:rPr>
          <w:i/>
          <w:iCs/>
        </w:rPr>
        <w:t>Data Science</w:t>
      </w:r>
      <w:r>
        <w:t xml:space="preserve">, </w:t>
      </w:r>
      <w:r>
        <w:rPr>
          <w:i/>
          <w:iCs/>
        </w:rPr>
        <w:t>IT-Systems &amp; Security</w:t>
      </w:r>
      <w:r>
        <w:t xml:space="preserve">, </w:t>
      </w:r>
      <w:r>
        <w:rPr>
          <w:i/>
          <w:iCs/>
        </w:rPr>
        <w:t>IT-Support &amp; Anwendungsbetreuung</w:t>
      </w:r>
      <w:r>
        <w:t xml:space="preserve">, </w:t>
      </w:r>
      <w:r>
        <w:rPr>
          <w:i/>
          <w:iCs/>
        </w:rPr>
        <w:t>Software Engineering &amp; Web Development</w:t>
      </w:r>
      <w:r>
        <w:t xml:space="preserve">, </w:t>
      </w:r>
      <w:r>
        <w:rPr>
          <w:i/>
          <w:iCs/>
        </w:rPr>
        <w:t>IT-Analyse &amp; -Management</w:t>
      </w:r>
      <w:r>
        <w:t xml:space="preserve"> sowie </w:t>
      </w:r>
      <w:r>
        <w:rPr>
          <w:i/>
          <w:iCs/>
        </w:rPr>
        <w:t>Automatisierung &amp; Artificial Intelligence.</w:t>
      </w:r>
      <w:r>
        <w:t xml:space="preserve"> Auf dieser Grundlage</w:t>
      </w:r>
      <w:r>
        <w:rPr>
          <w:rFonts w:eastAsiaTheme="minorEastAsia"/>
        </w:rPr>
        <w:t xml:space="preserve"> können einerseits Lehrinhalte der zu untersuchenden Bildungseinrichtungen nach IT-Relevanz abgebildet sowie der Bedarf der heimischen Wirtschaft an IT-Fach</w:t>
      </w:r>
      <w:r>
        <w:rPr>
          <w:rFonts w:eastAsiaTheme="minorEastAsia"/>
        </w:rPr>
        <w:softHyphen/>
        <w:t>kräften mit entsprechenden Qualifi</w:t>
      </w:r>
      <w:r>
        <w:rPr>
          <w:rFonts w:eastAsiaTheme="minorEastAsia"/>
        </w:rPr>
        <w:softHyphen/>
        <w:t>kations</w:t>
      </w:r>
      <w:r>
        <w:rPr>
          <w:rFonts w:eastAsiaTheme="minorEastAsia"/>
        </w:rPr>
        <w:softHyphen/>
        <w:t>profilen analysiert werden.</w:t>
      </w:r>
    </w:p>
    <w:p w14:paraId="38FC7B61" w14:textId="77777777" w:rsidR="00A114E6" w:rsidRDefault="00A114E6" w:rsidP="00A114E6"/>
    <w:p w14:paraId="491610CE" w14:textId="77777777" w:rsidR="00A114E6" w:rsidRDefault="00A114E6" w:rsidP="00A114E6"/>
    <w:p w14:paraId="6E8F7D22" w14:textId="77777777" w:rsidR="00A114E6" w:rsidRPr="00A114E6" w:rsidRDefault="00A114E6" w:rsidP="00A114E6">
      <w:pPr>
        <w:rPr>
          <w:b/>
          <w:bCs/>
          <w:i/>
          <w:iCs/>
          <w:sz w:val="24"/>
          <w:szCs w:val="24"/>
        </w:rPr>
      </w:pPr>
      <w:r w:rsidRPr="00A114E6">
        <w:rPr>
          <w:b/>
          <w:bCs/>
          <w:i/>
          <w:iCs/>
          <w:sz w:val="24"/>
          <w:szCs w:val="24"/>
        </w:rPr>
        <w:t>Bildungsmonitor zur Messung des IT-Qualifikationsoutputs</w:t>
      </w:r>
    </w:p>
    <w:p w14:paraId="11C07A70" w14:textId="77777777" w:rsidR="00A114E6" w:rsidRDefault="00A114E6" w:rsidP="00A114E6">
      <w:pPr>
        <w:rPr>
          <w:highlight w:val="yellow"/>
        </w:rPr>
      </w:pPr>
    </w:p>
    <w:p w14:paraId="2025E28C" w14:textId="77777777" w:rsidR="00A114E6" w:rsidRDefault="00A114E6" w:rsidP="00A114E6">
      <w:pPr>
        <w:rPr>
          <w:rFonts w:eastAsiaTheme="minorEastAsia"/>
        </w:rPr>
      </w:pPr>
      <w:r>
        <w:t>Mit einer Analyse der Output-Ebene für die wichtigsten Ausbildungsinstitutionen und ausgewählte Weiterbildungseinrichtungen steht eine Basis zur Verfügung, die eine Bewertung des IT-relevanten Angebots hinsichtlich re</w:t>
      </w:r>
      <w:r>
        <w:softHyphen/>
        <w:t xml:space="preserve">gionaler Unterschiede bzw. Schwerpunkte sowie nach </w:t>
      </w:r>
      <w:r>
        <w:rPr>
          <w:rFonts w:eastAsiaTheme="minorEastAsia"/>
        </w:rPr>
        <w:t>Bildungsebenen</w:t>
      </w:r>
      <w:r>
        <w:t xml:space="preserve"> und den IT-Qualifi</w:t>
      </w:r>
      <w:r>
        <w:softHyphen/>
        <w:t>ka</w:t>
      </w:r>
      <w:r>
        <w:softHyphen/>
        <w:t>tionsfeldern ermöglicht. Die eigens für die Untersuchung entwickelte und aufgebaute IT-Qualifikationsdatenbank umfasst das gesamte</w:t>
      </w:r>
      <w:r>
        <w:rPr>
          <w:rFonts w:eastAsiaTheme="minorEastAsia"/>
        </w:rPr>
        <w:t xml:space="preserve"> IT-Bildungsangebot in Österreich im sekundären und tertiären Bildungsbereich und quantifiziert bzw. gewichtet dabei sämtliche relevanten Ausbildungspfade nach ihrer IT-Durchdringung. Durch die Anreicherung um SchülerInnen- bzw. AbsolventInnen-Zahlen ist es möglich, den jeweiligen IT-Qualifikationsoutput nach Standort bzw. Bundesland thematisch zu quantifizieren und zu vergleichen. </w:t>
      </w:r>
    </w:p>
    <w:p w14:paraId="6870CFC0" w14:textId="77777777" w:rsidR="00A114E6" w:rsidRDefault="00A114E6" w:rsidP="00A114E6">
      <w:pPr>
        <w:rPr>
          <w:rFonts w:eastAsia="Times New Roman"/>
        </w:rPr>
      </w:pPr>
    </w:p>
    <w:p w14:paraId="4ADEF01C" w14:textId="77777777" w:rsidR="00A114E6" w:rsidRDefault="00A114E6" w:rsidP="00A114E6"/>
    <w:p w14:paraId="65AE4992" w14:textId="77777777" w:rsidR="00A114E6" w:rsidRPr="00A114E6" w:rsidRDefault="00A114E6" w:rsidP="00A114E6">
      <w:pPr>
        <w:rPr>
          <w:b/>
          <w:bCs/>
          <w:i/>
          <w:iCs/>
          <w:sz w:val="24"/>
          <w:szCs w:val="24"/>
        </w:rPr>
      </w:pPr>
      <w:r w:rsidRPr="00A114E6">
        <w:rPr>
          <w:b/>
          <w:bCs/>
          <w:i/>
          <w:iCs/>
          <w:sz w:val="24"/>
          <w:szCs w:val="24"/>
        </w:rPr>
        <w:t>Ost-West Gefälle beim österreichischen IT-Qualifikationsangebot</w:t>
      </w:r>
    </w:p>
    <w:p w14:paraId="6A49595A" w14:textId="77777777" w:rsidR="00A114E6" w:rsidRPr="00A114E6" w:rsidRDefault="00A114E6" w:rsidP="00A114E6">
      <w:pPr>
        <w:rPr>
          <w:b/>
          <w:bCs/>
          <w:i/>
          <w:iCs/>
          <w:sz w:val="24"/>
          <w:szCs w:val="24"/>
        </w:rPr>
      </w:pPr>
    </w:p>
    <w:p w14:paraId="1AF5C071" w14:textId="77777777" w:rsidR="00A114E6" w:rsidRDefault="00A114E6" w:rsidP="00A114E6">
      <w:pPr>
        <w:rPr>
          <w:rFonts w:cs="Arial"/>
        </w:rPr>
      </w:pPr>
      <w:r>
        <w:rPr>
          <w:rFonts w:cs="Arial"/>
        </w:rPr>
        <w:t>In Österreich zeigen sich im Vergleich der Bildungsebenen teilweise deutliche Unterschiede bei den regionalen Schwerpunkten des Qualifikationsoutputs bei IT-relevanten Bildungsformen. Grundsätzlich zeigt sich ein Ost-West Gefälle beim Bildungsangebot von IT-relevanten Ausbildungsformen: während die östlichen Bundesländer eine Vielzahl an IT-Ausbildungspfaden mit entsprechendem IT-Qualifikationsoutput vorweisen können, mangelt es in den westlichen Bundesländern an einem breiten und ausreichenden Spektrum an IT-Bildungsangeboten sowie einem ausreichenden IT-Qualifikationsoutput.</w:t>
      </w:r>
    </w:p>
    <w:p w14:paraId="60E4745C" w14:textId="77777777" w:rsidR="00A114E6" w:rsidRDefault="00A114E6" w:rsidP="00A114E6">
      <w:pPr>
        <w:rPr>
          <w:rFonts w:cs="Arial"/>
          <w:highlight w:val="yellow"/>
        </w:rPr>
      </w:pPr>
    </w:p>
    <w:p w14:paraId="3750C7F0" w14:textId="77777777" w:rsidR="00A114E6" w:rsidRDefault="00A114E6" w:rsidP="00A114E6">
      <w:pPr>
        <w:rPr>
          <w:rFonts w:cs="Arial"/>
        </w:rPr>
      </w:pPr>
      <w:r>
        <w:rPr>
          <w:rFonts w:cs="Arial"/>
        </w:rPr>
        <w:t>Im gesamten Schulsektor wird der IT-Kompetenzpool von den berufsorientierten Ausbildungspfaden geprägt: 57% entfallen auf HTL sowie 33% auf Berufsschulen. Auf die kaufmännisch orientierten Schulen entfallen 7% (HAK/HASCH) und den AHS-Sektor lediglich 3%. Dies unterstreicht das Defizit der IT-Ausbildung auf Ebene der HAK/HASCH sowie AHS. Auf Ebene der HTL sind IT-Ausbildungen vielfältig und bundesweit auf breiter Basis vertreten. Sie ermöglichen es durch diese Streuung, einerseits dem Arbeitsmarkt unmittelbar anwendungsorientiert IT-Qualifikationen standortunabhängig zur Verfügung zu stellen und andererseits einen Qualifikationspool und Studierendenpotenzial für die weiterführenden tertiären Ausbildungsformen zu ermöglichen.</w:t>
      </w:r>
    </w:p>
    <w:p w14:paraId="311305D9" w14:textId="77777777" w:rsidR="00A114E6" w:rsidRDefault="00A114E6" w:rsidP="00A114E6">
      <w:pPr>
        <w:rPr>
          <w:rFonts w:cs="Arial"/>
        </w:rPr>
      </w:pPr>
    </w:p>
    <w:p w14:paraId="41D4307F" w14:textId="77777777" w:rsidR="00A114E6" w:rsidRDefault="00A114E6" w:rsidP="00A114E6">
      <w:pPr>
        <w:rPr>
          <w:rFonts w:cs="Arial"/>
        </w:rPr>
      </w:pPr>
      <w:r>
        <w:rPr>
          <w:rFonts w:cs="Arial"/>
        </w:rPr>
        <w:t>Der IT-Kompetenzpool an Österreichs Universitäten konzentriert sich im IT-Qualifi</w:t>
      </w:r>
      <w:r>
        <w:rPr>
          <w:rFonts w:cs="Arial"/>
        </w:rPr>
        <w:softHyphen/>
        <w:t>ka</w:t>
      </w:r>
      <w:r>
        <w:rPr>
          <w:rFonts w:cs="Arial"/>
        </w:rPr>
        <w:softHyphen/>
        <w:t>tions</w:t>
      </w:r>
      <w:r>
        <w:rPr>
          <w:rFonts w:cs="Arial"/>
        </w:rPr>
        <w:softHyphen/>
        <w:t xml:space="preserve">output primär auf die Regionen Wien und Graz, bedingt durch die dortigen Technischen Universitäten. Diese decken über drei Viertel des in Österreich verfügbaren universitären Kompetenzpools ab. </w:t>
      </w:r>
      <w:r>
        <w:rPr>
          <w:rFonts w:cs="Arial"/>
        </w:rPr>
        <w:lastRenderedPageBreak/>
        <w:t xml:space="preserve">Die weiteren Bundesländerstandorte von Universitäten spielen nur eine untergeordnete Rolle, das gilt sowohl auf Bachelor- und Masterebene. </w:t>
      </w:r>
    </w:p>
    <w:p w14:paraId="045549BD" w14:textId="77777777" w:rsidR="00A114E6" w:rsidRDefault="00A114E6" w:rsidP="00A114E6">
      <w:pPr>
        <w:rPr>
          <w:rFonts w:cs="Arial"/>
          <w:highlight w:val="yellow"/>
        </w:rPr>
      </w:pPr>
    </w:p>
    <w:p w14:paraId="56FA83B8" w14:textId="77777777" w:rsidR="00A114E6" w:rsidRDefault="00A114E6" w:rsidP="00A114E6">
      <w:pPr>
        <w:rPr>
          <w:rFonts w:cs="Arial"/>
        </w:rPr>
      </w:pPr>
    </w:p>
    <w:p w14:paraId="639BFC30" w14:textId="77777777" w:rsidR="00A114E6" w:rsidRPr="00A114E6" w:rsidRDefault="00A114E6" w:rsidP="00A114E6">
      <w:pPr>
        <w:rPr>
          <w:b/>
          <w:bCs/>
          <w:i/>
          <w:iCs/>
          <w:sz w:val="24"/>
          <w:szCs w:val="24"/>
        </w:rPr>
      </w:pPr>
      <w:r w:rsidRPr="00A114E6">
        <w:rPr>
          <w:b/>
          <w:bCs/>
          <w:i/>
          <w:iCs/>
          <w:sz w:val="24"/>
          <w:szCs w:val="24"/>
        </w:rPr>
        <w:t>Stärkere Verankerung von IT im allgemeinbildenden Schulsystem?</w:t>
      </w:r>
    </w:p>
    <w:p w14:paraId="7226AF2D" w14:textId="77777777" w:rsidR="00A114E6" w:rsidRDefault="00A114E6" w:rsidP="00A114E6">
      <w:pPr>
        <w:rPr>
          <w:rFonts w:cs="Arial"/>
          <w:highlight w:val="yellow"/>
        </w:rPr>
      </w:pPr>
    </w:p>
    <w:p w14:paraId="511B4736" w14:textId="77777777" w:rsidR="00A114E6" w:rsidRDefault="00A114E6" w:rsidP="00A114E6">
      <w:pPr>
        <w:rPr>
          <w:rFonts w:cs="Arial"/>
          <w:highlight w:val="yellow"/>
        </w:rPr>
      </w:pPr>
      <w:r>
        <w:rPr>
          <w:rFonts w:cs="Arial"/>
        </w:rPr>
        <w:t xml:space="preserve">Die Frage, ob und wieweit spezifische IT-Ausbildung in das allgemeinbildende sekundäre Schulsystem integriert werden kann und soll, ist eine gesellschaftspolitische und keine, von Angebot und Nachfrage nach IT-Qualifikationen am Arbeitsmarkt alleine bestimmte. Hier sind gleichfalls die Bildungseinrichtungen selbst gefordert: nach Ansicht einer repräsentativen IWI-Unternehmensbefragung wäre es wünschenswert, wenn Bildungsinstitutionen aktiv für IT-Ausbildungszweige werben, </w:t>
      </w:r>
      <w:r>
        <w:t>um für IT-Berufe begeistern zu können. Zudem sollte das Interesse an IT in der Schulausbildung möglichst früh geweckt werden.</w:t>
      </w:r>
    </w:p>
    <w:p w14:paraId="1E87B1D2" w14:textId="77777777" w:rsidR="00A114E6" w:rsidRDefault="00A114E6" w:rsidP="00A114E6">
      <w:pPr>
        <w:rPr>
          <w:rFonts w:cs="Arial"/>
          <w:highlight w:val="yellow"/>
        </w:rPr>
      </w:pPr>
    </w:p>
    <w:p w14:paraId="56BD788A" w14:textId="77777777" w:rsidR="00A114E6" w:rsidRDefault="00A114E6" w:rsidP="00A114E6">
      <w:pPr>
        <w:rPr>
          <w:rFonts w:cs="Arial"/>
        </w:rPr>
      </w:pPr>
      <w:r>
        <w:rPr>
          <w:rFonts w:cs="Arial"/>
        </w:rPr>
        <w:t xml:space="preserve">Eine stärkere Verankerung im allgemeinbildenden Schulsystem könnte einerseits regionalen Disparitäten entgegenwirken sowie dabei helfen, dass Interesse an IT zu wecken. Zudem macht es SchülerInnen schneller mit neuen digitalen Technologien vertraut. </w:t>
      </w:r>
    </w:p>
    <w:p w14:paraId="3DC62943" w14:textId="77777777" w:rsidR="00A114E6" w:rsidRDefault="00A114E6" w:rsidP="00A114E6">
      <w:pPr>
        <w:rPr>
          <w:rFonts w:cs="Arial"/>
        </w:rPr>
      </w:pPr>
    </w:p>
    <w:p w14:paraId="7629D517" w14:textId="77777777" w:rsidR="00A114E6" w:rsidRDefault="00A114E6" w:rsidP="00A114E6">
      <w:pPr>
        <w:rPr>
          <w:rFonts w:cs="Arial"/>
        </w:rPr>
      </w:pPr>
    </w:p>
    <w:p w14:paraId="3DE0C6D2" w14:textId="77777777" w:rsidR="00A114E6" w:rsidRPr="00A114E6" w:rsidRDefault="00A114E6" w:rsidP="00A114E6">
      <w:pPr>
        <w:rPr>
          <w:b/>
          <w:bCs/>
          <w:i/>
          <w:iCs/>
          <w:sz w:val="24"/>
          <w:szCs w:val="24"/>
        </w:rPr>
      </w:pPr>
      <w:r w:rsidRPr="00A114E6">
        <w:rPr>
          <w:b/>
          <w:bCs/>
          <w:i/>
          <w:iCs/>
          <w:sz w:val="24"/>
          <w:szCs w:val="24"/>
        </w:rPr>
        <w:t>Derzeit mangelt es an 24.000 IT-Fachkräften in der österreichischen Wirtschaft</w:t>
      </w:r>
    </w:p>
    <w:p w14:paraId="73383CAE" w14:textId="77777777" w:rsidR="00A114E6" w:rsidRDefault="00A114E6" w:rsidP="00A114E6">
      <w:pPr>
        <w:rPr>
          <w:rFonts w:cs="Arial"/>
        </w:rPr>
      </w:pPr>
    </w:p>
    <w:p w14:paraId="4F7CC99C" w14:textId="77777777" w:rsidR="00A114E6" w:rsidRDefault="00A114E6" w:rsidP="00A114E6">
      <w:r>
        <w:t xml:space="preserve">Die Ergebnisse der gegenständlichen Feldforschung des IWI – eine Befragung von (n) = 1.128 Unternehmen – zeigen, dass derzeit von einem </w:t>
      </w:r>
      <w:r>
        <w:rPr>
          <w:bCs/>
        </w:rPr>
        <w:t>zusätzlichen Gesamtbedarf von 22.200 bis 24.300 IT-Fachkräften</w:t>
      </w:r>
      <w:r>
        <w:t xml:space="preserve"> in der </w:t>
      </w:r>
      <w:r>
        <w:rPr>
          <w:bCs/>
        </w:rPr>
        <w:t>österreichischen Wirtschaft</w:t>
      </w:r>
      <w:r>
        <w:t xml:space="preserve"> ausgegangen werden kann. Zwei Drittel der in dieser Erhebung erfassten Unternehmen haben IT-Fachkräfte in den eigenen Reihen angestellt und können ihren </w:t>
      </w:r>
      <w:r>
        <w:rPr>
          <w:bCs/>
        </w:rPr>
        <w:t>Bedarf an IT-Fachkräften durchschnittlich zu 77% decken.</w:t>
      </w:r>
      <w:r>
        <w:t xml:space="preserve"> </w:t>
      </w:r>
    </w:p>
    <w:p w14:paraId="014F3CD1" w14:textId="77777777" w:rsidR="00A114E6" w:rsidRDefault="00A114E6" w:rsidP="00A114E6"/>
    <w:p w14:paraId="57DCDAEB" w14:textId="77777777" w:rsidR="00A114E6" w:rsidRDefault="00A114E6" w:rsidP="00A114E6">
      <w:r>
        <w:t xml:space="preserve">Der größte Nachfrager nach IT-Fachkräften sind Unternehmen der </w:t>
      </w:r>
      <w:r>
        <w:rPr>
          <w:i/>
          <w:iCs/>
        </w:rPr>
        <w:t>IT- und Informationsdienstleistungen</w:t>
      </w:r>
      <w:r>
        <w:t>. Sie zeichnen für 9.600 zusätzlich erforderliche IT-Fachkräfte (40% des Gesamtbedarfs) verantwortlich, wobei das Ausmaß u.a. durch das Outsourcing anderer Unternehmen an diese Branche bedingt wird.</w:t>
      </w:r>
    </w:p>
    <w:p w14:paraId="4EC73DAA" w14:textId="77777777" w:rsidR="00A114E6" w:rsidRDefault="00A114E6" w:rsidP="00A114E6">
      <w:pPr>
        <w:rPr>
          <w:highlight w:val="yellow"/>
        </w:rPr>
      </w:pPr>
    </w:p>
    <w:p w14:paraId="4C959553" w14:textId="77777777" w:rsidR="00A114E6" w:rsidRDefault="00A114E6" w:rsidP="00A114E6">
      <w:r>
        <w:t xml:space="preserve">Den Unternehmen des Befragungssamples der </w:t>
      </w:r>
      <w:r>
        <w:rPr>
          <w:i/>
          <w:iCs/>
        </w:rPr>
        <w:t>Metalltechnischen Industrie (MTI)</w:t>
      </w:r>
      <w:r>
        <w:t xml:space="preserve"> fehlen derzeit 900 IT-MitarbeiterInnen. Folglich ist die </w:t>
      </w:r>
      <w:r>
        <w:rPr>
          <w:i/>
          <w:iCs/>
        </w:rPr>
        <w:t>MTI</w:t>
      </w:r>
      <w:r>
        <w:t xml:space="preserve"> absolut gemessen einer der größten Nachfrager an zusätzlichen IT-Fachkräften. In den Unternehmen der </w:t>
      </w:r>
      <w:r>
        <w:rPr>
          <w:i/>
          <w:iCs/>
        </w:rPr>
        <w:t>Elektro- und Elektronikindustrie (EEI)</w:t>
      </w:r>
      <w:r>
        <w:t xml:space="preserve"> besteht ein zusätzlicher Bedarf von 600 Beschäftigen im IT-Bereich. Der übrige IT-Fachkräftebedarf verteilt sich auf die übrigen Branchen der Volkswirtschaft.</w:t>
      </w:r>
    </w:p>
    <w:p w14:paraId="218E6094" w14:textId="77777777" w:rsidR="00A114E6" w:rsidRDefault="00A114E6" w:rsidP="00A114E6">
      <w:pPr>
        <w:rPr>
          <w:highlight w:val="yellow"/>
        </w:rPr>
      </w:pPr>
    </w:p>
    <w:p w14:paraId="6E1BD5EB" w14:textId="77777777" w:rsidR="00A114E6" w:rsidRDefault="00A114E6" w:rsidP="00A114E6">
      <w:pPr>
        <w:rPr>
          <w:highlight w:val="yellow"/>
        </w:rPr>
      </w:pPr>
    </w:p>
    <w:p w14:paraId="3CEA9580" w14:textId="77777777" w:rsidR="00A114E6" w:rsidRPr="00A114E6" w:rsidRDefault="00A114E6" w:rsidP="00A114E6">
      <w:pPr>
        <w:rPr>
          <w:b/>
          <w:bCs/>
          <w:i/>
          <w:iCs/>
          <w:sz w:val="24"/>
          <w:szCs w:val="24"/>
        </w:rPr>
      </w:pPr>
      <w:r w:rsidRPr="00A114E6">
        <w:rPr>
          <w:b/>
          <w:bCs/>
          <w:i/>
          <w:iCs/>
          <w:sz w:val="24"/>
          <w:szCs w:val="24"/>
        </w:rPr>
        <w:t>Der größte Bedarf besteht im Bereich Software Engineering &amp; Web Development</w:t>
      </w:r>
    </w:p>
    <w:p w14:paraId="0E763688" w14:textId="77777777" w:rsidR="00A114E6" w:rsidRDefault="00A114E6" w:rsidP="00A114E6">
      <w:pPr>
        <w:rPr>
          <w:highlight w:val="yellow"/>
        </w:rPr>
      </w:pPr>
    </w:p>
    <w:p w14:paraId="6816A984" w14:textId="77777777" w:rsidR="00A114E6" w:rsidRDefault="00A114E6" w:rsidP="00A114E6">
      <w:pPr>
        <w:rPr>
          <w:highlight w:val="yellow"/>
        </w:rPr>
      </w:pPr>
      <w:r>
        <w:t xml:space="preserve">Ein Viertel des derzeitigen IT-Fachkräftebedarfs herrscht im Bereich </w:t>
      </w:r>
      <w:r>
        <w:rPr>
          <w:i/>
          <w:iCs/>
        </w:rPr>
        <w:t>Software Engineering &amp; Web Development</w:t>
      </w:r>
      <w:r>
        <w:t xml:space="preserve">, mehr als </w:t>
      </w:r>
      <w:r>
        <w:rPr>
          <w:bCs/>
        </w:rPr>
        <w:t>6.300 IT-Fachkräfte</w:t>
      </w:r>
      <w:r>
        <w:t xml:space="preserve"> werden</w:t>
      </w:r>
      <w:r>
        <w:rPr>
          <w:bCs/>
        </w:rPr>
        <w:t xml:space="preserve"> von Seiten der Unternehmen nachgefragt</w:t>
      </w:r>
      <w:r>
        <w:t xml:space="preserve">, kein anderer Bereich weist einen höheren IT-Fachkräftemangel auf. Die Tatsache, dass die Bedeutung dieses IT-Bereich </w:t>
      </w:r>
      <w:r>
        <w:rPr>
          <w:bCs/>
        </w:rPr>
        <w:t>zukünftig weiter zunehmen</w:t>
      </w:r>
      <w:r>
        <w:t xml:space="preserve"> wird, ist für den Handlungsbedarf ein wichtiges Warnsignal. </w:t>
      </w:r>
    </w:p>
    <w:p w14:paraId="487209F0" w14:textId="77777777" w:rsidR="00A114E6" w:rsidRDefault="00A114E6" w:rsidP="00A114E6">
      <w:pPr>
        <w:rPr>
          <w:highlight w:val="yellow"/>
        </w:rPr>
      </w:pPr>
    </w:p>
    <w:p w14:paraId="59F425FC" w14:textId="77777777" w:rsidR="00A114E6" w:rsidRDefault="00A114E6" w:rsidP="00A114E6">
      <w:r>
        <w:t xml:space="preserve">Im Bereich </w:t>
      </w:r>
      <w:r>
        <w:rPr>
          <w:bCs/>
          <w:i/>
          <w:iCs/>
        </w:rPr>
        <w:t>IT-Support &amp; Anwendungsbetreuung</w:t>
      </w:r>
      <w:r>
        <w:t xml:space="preserve"> bedarf es mehr als </w:t>
      </w:r>
      <w:r>
        <w:rPr>
          <w:bCs/>
        </w:rPr>
        <w:t>5.300 zusätzliche Beschäftigte, um den Bedarf der österreichischen Wirtschaft zu decken, m</w:t>
      </w:r>
      <w:r>
        <w:t xml:space="preserve">ehr als </w:t>
      </w:r>
      <w:r>
        <w:rPr>
          <w:bCs/>
        </w:rPr>
        <w:t>4.300 Beschäftigte</w:t>
      </w:r>
      <w:r>
        <w:t xml:space="preserve"> sind im Bereich </w:t>
      </w:r>
      <w:r>
        <w:rPr>
          <w:bCs/>
          <w:i/>
          <w:iCs/>
        </w:rPr>
        <w:t>IT-Systems &amp; Security</w:t>
      </w:r>
      <w:r>
        <w:rPr>
          <w:bCs/>
        </w:rPr>
        <w:t xml:space="preserve"> zusätzlich erforderlich</w:t>
      </w:r>
      <w:r>
        <w:t>.</w:t>
      </w:r>
    </w:p>
    <w:p w14:paraId="066220AC" w14:textId="77777777" w:rsidR="00A114E6" w:rsidRDefault="00A114E6" w:rsidP="00A114E6"/>
    <w:p w14:paraId="5E1C96E4" w14:textId="77777777" w:rsidR="00A114E6" w:rsidRDefault="00A114E6" w:rsidP="00A114E6">
      <w:pPr>
        <w:rPr>
          <w:highlight w:val="yellow"/>
        </w:rPr>
      </w:pPr>
      <w:r>
        <w:t xml:space="preserve">Oberösterreich kann 22% des IT-Fachkräftebedarfs nicht decken, vor allem in den Bereichen </w:t>
      </w:r>
      <w:r>
        <w:rPr>
          <w:i/>
          <w:iCs/>
        </w:rPr>
        <w:t>IT-Support &amp; Anwendungsbetreuung</w:t>
      </w:r>
      <w:r>
        <w:t xml:space="preserve"> und </w:t>
      </w:r>
      <w:r>
        <w:rPr>
          <w:i/>
          <w:iCs/>
        </w:rPr>
        <w:t>Software Engineering &amp; Web Development</w:t>
      </w:r>
      <w:r>
        <w:t xml:space="preserve"> benötigen die Firmen mehr IT-Personal. Grundsätzlich ist das IT-Bildungsangebot in Oberösterreich breit aufgestellt und generiert 20% des gesamten heimischen IT-Qualifikationsoutputs. Obwohl das Bildungsangebot </w:t>
      </w:r>
      <w:r>
        <w:rPr>
          <w:i/>
          <w:iCs/>
        </w:rPr>
        <w:t xml:space="preserve">Software Engineering &amp; Web Development </w:t>
      </w:r>
      <w:r>
        <w:t>über sämtliche Bildungsebenen vorhanden ist und rd. 37% des oberösterreichischen IT-Quali</w:t>
      </w:r>
      <w:r>
        <w:softHyphen/>
        <w:t>fikations</w:t>
      </w:r>
      <w:r>
        <w:softHyphen/>
        <w:t xml:space="preserve">output generiert, übersteigt die Nachfrage der Unternehmen das Angebot. </w:t>
      </w:r>
    </w:p>
    <w:p w14:paraId="09D585E5" w14:textId="77777777" w:rsidR="00A114E6" w:rsidRDefault="00A114E6" w:rsidP="00A114E6"/>
    <w:p w14:paraId="5F7E463B" w14:textId="77777777" w:rsidR="00A114E6" w:rsidRDefault="00A114E6" w:rsidP="00A114E6">
      <w:r>
        <w:t xml:space="preserve">Kärnten benötigt vorwiegend Fachkräfte in den Bereichen </w:t>
      </w:r>
      <w:r>
        <w:rPr>
          <w:i/>
          <w:iCs/>
        </w:rPr>
        <w:t>IT-Support &amp; Anwendungsbetreuung</w:t>
      </w:r>
      <w:r>
        <w:t xml:space="preserve"> sowie </w:t>
      </w:r>
      <w:r>
        <w:rPr>
          <w:i/>
          <w:iCs/>
        </w:rPr>
        <w:t>IT-Systems &amp; Security</w:t>
      </w:r>
      <w:r>
        <w:t xml:space="preserve">. Interessanterweise ist das Angebot letzterens auf mehreren Ebenen überdurchschnittlich gegeben; ebenso im Bereich der </w:t>
      </w:r>
      <w:r>
        <w:rPr>
          <w:i/>
          <w:iCs/>
        </w:rPr>
        <w:t xml:space="preserve">IT-Support &amp; Anwendungsbetreuung, </w:t>
      </w:r>
      <w:r>
        <w:t>hier</w:t>
      </w:r>
      <w:r>
        <w:rPr>
          <w:i/>
          <w:iCs/>
        </w:rPr>
        <w:t xml:space="preserve"> </w:t>
      </w:r>
      <w:r>
        <w:t xml:space="preserve">weist Kärnten den höchsten Anteil unter allen Bundesländer auf und dennoch kann der Bedarf der Unternehmen nicht gedeckt werden. Die Situation könnte sich aufgrund derzeitiger Zukunftsinvestitionen in den Standort verschärfen. </w:t>
      </w:r>
    </w:p>
    <w:p w14:paraId="0A592D70" w14:textId="77777777" w:rsidR="00A114E6" w:rsidRDefault="00A114E6" w:rsidP="00A114E6">
      <w:pPr>
        <w:rPr>
          <w:highlight w:val="yellow"/>
        </w:rPr>
      </w:pPr>
    </w:p>
    <w:p w14:paraId="1A30D9A9" w14:textId="77777777" w:rsidR="00A114E6" w:rsidRDefault="00A114E6" w:rsidP="00A114E6">
      <w:pPr>
        <w:rPr>
          <w:rFonts w:cs="Arial"/>
        </w:rPr>
      </w:pPr>
      <w:r>
        <w:rPr>
          <w:rFonts w:cs="Arial"/>
        </w:rPr>
        <w:t xml:space="preserve">Etwas weniger kritisch präsentiert sich die Situation in der Steiermark und Niederösterreich. Die Steiermark kann in sämtlichen Bildungsebenen über einen ausgewogenen IT-Qualifikationsoutput blicken, der am Ende des Tages jedoch nicht genügt. Durch die Tatsache, dass die Steiermark wie Wien einen Fokus auf den Hochschulsektor hat, muss es hierdurch vermehrt mit Zugangsberechtigten aus anderen Bundesländern und einem Abgang des regionalen IT-Qualifikationspools rechnen. </w:t>
      </w:r>
    </w:p>
    <w:p w14:paraId="5F1AF62B" w14:textId="77777777" w:rsidR="00A114E6" w:rsidRDefault="00A114E6" w:rsidP="00A114E6">
      <w:pPr>
        <w:rPr>
          <w:rFonts w:cs="Arial"/>
          <w:highlight w:val="yellow"/>
        </w:rPr>
      </w:pPr>
    </w:p>
    <w:p w14:paraId="2862BE4B" w14:textId="77777777" w:rsidR="00A114E6" w:rsidRDefault="00A114E6" w:rsidP="00A114E6">
      <w:pPr>
        <w:rPr>
          <w:rFonts w:cs="Arial"/>
        </w:rPr>
      </w:pPr>
      <w:r>
        <w:rPr>
          <w:rFonts w:cs="Arial"/>
        </w:rPr>
        <w:t>Die niederösterreichische IT-Bildungslandschaft ist geprägt durch ein starkes HTL- wie Fachhochschulwesen. Mehr als 80% des IT-Qualifikationspools werden durch diese beiden Institutionen versorgt. Im Gegensatz dazu sind die Anteile der übrigen Sekundar- wie auch der Universitätsausbildung unterrepräsentiert. Ein Pluspunkt Niederösterreichs ist die Nähe zu Wien und dessen IT-relevanten Bildungsangebote.</w:t>
      </w:r>
    </w:p>
    <w:p w14:paraId="6F2B0195" w14:textId="77777777" w:rsidR="00A114E6" w:rsidRDefault="00A114E6" w:rsidP="00A114E6"/>
    <w:p w14:paraId="5FE8B620" w14:textId="77777777" w:rsidR="00A114E6" w:rsidRDefault="00A114E6" w:rsidP="00A114E6"/>
    <w:p w14:paraId="7D9FD358" w14:textId="77777777" w:rsidR="00A114E6" w:rsidRPr="00A114E6" w:rsidRDefault="00A114E6" w:rsidP="00A114E6">
      <w:pPr>
        <w:rPr>
          <w:b/>
          <w:bCs/>
          <w:i/>
          <w:iCs/>
          <w:sz w:val="24"/>
          <w:szCs w:val="24"/>
        </w:rPr>
      </w:pPr>
      <w:r w:rsidRPr="00A114E6">
        <w:rPr>
          <w:b/>
          <w:bCs/>
          <w:i/>
          <w:iCs/>
          <w:sz w:val="24"/>
          <w:szCs w:val="24"/>
        </w:rPr>
        <w:t>Internationale Vergleiche bescheinigen Österreich nur Mittelmaß</w:t>
      </w:r>
    </w:p>
    <w:p w14:paraId="777BE27B" w14:textId="77777777" w:rsidR="00A114E6" w:rsidRDefault="00A114E6" w:rsidP="00A114E6"/>
    <w:p w14:paraId="66AC9147" w14:textId="77777777" w:rsidR="00A114E6" w:rsidRDefault="00A114E6" w:rsidP="00A114E6">
      <w:r>
        <w:t>Mehrere internationale Bildungsvergleiche bescheinigen, dass sich Österreich im Bereich der digitalen Kompetenzen und Digitalsierung nur im Mittelmaß befindet.</w:t>
      </w:r>
      <w:r>
        <w:rPr>
          <w:rStyle w:val="Funotenzeichen"/>
        </w:rPr>
        <w:footnoteReference w:id="1"/>
      </w:r>
      <w:r>
        <w:t xml:space="preserve"> Österreich zählt zwar zu den Ländern mit den höchsten Bildungsausgaben weltweit, erreicht jedoch bestenfalls mittelmäßige Ergebnisse. Österreich gehört nicht zu den digitalen Innovationsführern sondern zu jenen der „</w:t>
      </w:r>
      <w:r>
        <w:rPr>
          <w:i/>
          <w:iCs/>
        </w:rPr>
        <w:t>Digitalen Follower</w:t>
      </w:r>
      <w:r>
        <w:t xml:space="preserve">“. Die Ausführungen und Zahlen unterstreichen, dass ein akuter Handlungsbedarf in Österreich besteht. Sollten nicht bald Maßnahmen ergriffen werden, wird der IT-Qualifikationsbedarf in Österreich in den kommenden fünf Jahren und unter Berücksichtigung der wichtigsten bekannten Rahmenfaktoren laut IWI-Prognosen auf ein Ausmaß von bis zu 28.600 an benötigtem IT-Personal ansteigen. </w:t>
      </w:r>
    </w:p>
    <w:p w14:paraId="054E2FBB" w14:textId="77777777" w:rsidR="00A114E6" w:rsidRDefault="00A114E6" w:rsidP="00A114E6"/>
    <w:p w14:paraId="2389D1BB" w14:textId="77777777" w:rsidR="00A114E6" w:rsidRDefault="00A114E6" w:rsidP="00A114E6">
      <w:pPr>
        <w:rPr>
          <w:w w:val="120"/>
        </w:rPr>
      </w:pPr>
      <w:r>
        <w:rPr>
          <w:rFonts w:cs="Arial"/>
          <w:bCs/>
        </w:rPr>
        <w:t>Die Ergebnisse der Studie zeigen aber ebenso, dass</w:t>
      </w:r>
      <w:r>
        <w:rPr>
          <w:rFonts w:cs="Arial"/>
        </w:rPr>
        <w:t xml:space="preserve"> Österreich über einen durchaus ausgeprägten IT-Kompetenzpool auf allen Bildungsebenen verfügt. Die primären Voraussetzungen wären also gegeben, die durch den digitalen Wandel</w:t>
      </w:r>
      <w:r>
        <w:t xml:space="preserve"> ausgelösten Veränderungsprozesse erfolgreich zu meistern. Hierfür kann das zur Verfügung stehende Potential an vorhandenen Bildungsstrukturen genutzt werden, um sie an die derzeitigen wie zukünftigen Anforderungen des digitalen Wandels entsprechend anzupassen.</w:t>
      </w:r>
    </w:p>
    <w:p w14:paraId="5AA9CCC5" w14:textId="77777777" w:rsidR="00791ED6" w:rsidRDefault="00791ED6" w:rsidP="00A114E6">
      <w:pPr>
        <w:spacing w:line="240" w:lineRule="auto"/>
        <w:rPr>
          <w:b/>
          <w:bCs/>
          <w:i/>
          <w:iCs/>
        </w:rPr>
        <w:sectPr w:rsidR="00791ED6" w:rsidSect="00A114E6">
          <w:footerReference w:type="default" r:id="rId11"/>
          <w:pgSz w:w="11906" w:h="16838"/>
          <w:pgMar w:top="1417" w:right="991" w:bottom="1134" w:left="1417" w:header="708" w:footer="708" w:gutter="0"/>
          <w:cols w:space="708"/>
          <w:docGrid w:linePitch="360"/>
        </w:sectPr>
      </w:pPr>
    </w:p>
    <w:p w14:paraId="35AA4D16" w14:textId="77777777" w:rsidR="00A114E6" w:rsidRPr="00A114E6" w:rsidRDefault="00A114E6" w:rsidP="00A114E6">
      <w:pPr>
        <w:spacing w:line="240" w:lineRule="auto"/>
        <w:rPr>
          <w:b/>
          <w:bCs/>
          <w:i/>
          <w:iCs/>
          <w:sz w:val="23"/>
          <w:szCs w:val="23"/>
        </w:rPr>
      </w:pPr>
      <w:r w:rsidRPr="00A114E6">
        <w:rPr>
          <w:b/>
          <w:bCs/>
          <w:i/>
          <w:iCs/>
          <w:sz w:val="23"/>
          <w:szCs w:val="23"/>
        </w:rPr>
        <w:t>Mehr als die Hälfte der Nachfrage in Oberösterreich und Wien</w:t>
      </w:r>
    </w:p>
    <w:p w14:paraId="615C086D" w14:textId="77777777" w:rsidR="00A114E6" w:rsidRPr="00A114E6" w:rsidRDefault="00A114E6" w:rsidP="00A114E6">
      <w:pPr>
        <w:spacing w:line="240" w:lineRule="auto"/>
        <w:rPr>
          <w:sz w:val="21"/>
          <w:szCs w:val="21"/>
        </w:rPr>
      </w:pPr>
    </w:p>
    <w:p w14:paraId="22BC29B9" w14:textId="77777777" w:rsidR="00A114E6" w:rsidRPr="00A114E6" w:rsidRDefault="00A114E6" w:rsidP="00A114E6">
      <w:pPr>
        <w:spacing w:line="240" w:lineRule="auto"/>
        <w:rPr>
          <w:sz w:val="21"/>
          <w:szCs w:val="21"/>
        </w:rPr>
      </w:pPr>
      <w:r w:rsidRPr="00A114E6">
        <w:rPr>
          <w:sz w:val="21"/>
          <w:szCs w:val="21"/>
        </w:rPr>
        <w:t>Die regionale Vergleichsbetrachtung nach Bundesländern zeigt, dass der größte IT-Fach</w:t>
      </w:r>
      <w:r w:rsidRPr="00A114E6">
        <w:rPr>
          <w:sz w:val="21"/>
          <w:szCs w:val="21"/>
        </w:rPr>
        <w:softHyphen/>
        <w:t>kräftemangel in Oberösterreich herrscht: drei von zehn zusätzlichen IT-Fachkräfte werden in diesem wichtigen Industriebundesland benötigt, in Summe sind es 7.200. Hier kommt die hohe Anzahl an Unternehmen und Beschäftigten zum Tragen.</w:t>
      </w:r>
    </w:p>
    <w:p w14:paraId="279955CE" w14:textId="77777777" w:rsidR="00A114E6" w:rsidRPr="00A114E6" w:rsidRDefault="00A114E6" w:rsidP="00A114E6">
      <w:pPr>
        <w:spacing w:line="240" w:lineRule="auto"/>
        <w:rPr>
          <w:sz w:val="21"/>
          <w:szCs w:val="21"/>
        </w:rPr>
      </w:pPr>
    </w:p>
    <w:p w14:paraId="407D9122" w14:textId="77777777" w:rsidR="00A114E6" w:rsidRPr="00A114E6" w:rsidRDefault="00A114E6" w:rsidP="00A114E6">
      <w:pPr>
        <w:rPr>
          <w:sz w:val="21"/>
          <w:szCs w:val="21"/>
        </w:rPr>
      </w:pPr>
      <w:r w:rsidRPr="00A114E6">
        <w:rPr>
          <w:sz w:val="21"/>
          <w:szCs w:val="21"/>
        </w:rPr>
        <w:t xml:space="preserve">In </w:t>
      </w:r>
      <w:r w:rsidRPr="00A114E6">
        <w:rPr>
          <w:bCs/>
          <w:sz w:val="21"/>
          <w:szCs w:val="21"/>
        </w:rPr>
        <w:t>Wien fehlen 6.000 Beschäftigte im IT-Bereich</w:t>
      </w:r>
      <w:r w:rsidRPr="00A114E6">
        <w:rPr>
          <w:sz w:val="21"/>
          <w:szCs w:val="21"/>
        </w:rPr>
        <w:t xml:space="preserve">, ein Viertel des gesamten österreichischen IT-Fachkräftebedarfs. In der Bundeshauptstadt ist es u.a. die beachtliche Anzahl an ansässigen </w:t>
      </w:r>
      <w:r w:rsidRPr="00A114E6">
        <w:rPr>
          <w:i/>
          <w:iCs/>
          <w:sz w:val="21"/>
          <w:szCs w:val="21"/>
        </w:rPr>
        <w:t>IT- und Informations</w:t>
      </w:r>
      <w:r w:rsidRPr="00A114E6">
        <w:rPr>
          <w:i/>
          <w:iCs/>
          <w:sz w:val="21"/>
          <w:szCs w:val="21"/>
        </w:rPr>
        <w:softHyphen/>
        <w:t>dienst</w:t>
      </w:r>
      <w:r w:rsidRPr="00A114E6">
        <w:rPr>
          <w:i/>
          <w:iCs/>
          <w:sz w:val="21"/>
          <w:szCs w:val="21"/>
        </w:rPr>
        <w:softHyphen/>
        <w:t>leistungs</w:t>
      </w:r>
      <w:r w:rsidRPr="00A114E6">
        <w:rPr>
          <w:i/>
          <w:iCs/>
          <w:sz w:val="21"/>
          <w:szCs w:val="21"/>
        </w:rPr>
        <w:softHyphen/>
        <w:t>unter</w:t>
      </w:r>
      <w:r w:rsidRPr="00A114E6">
        <w:rPr>
          <w:i/>
          <w:iCs/>
          <w:sz w:val="21"/>
          <w:szCs w:val="21"/>
        </w:rPr>
        <w:softHyphen/>
        <w:t>nehmen</w:t>
      </w:r>
      <w:r w:rsidRPr="00A114E6">
        <w:rPr>
          <w:sz w:val="21"/>
          <w:szCs w:val="21"/>
        </w:rPr>
        <w:t xml:space="preserve">: mehr als jedes dritte heimische Unternehmen der Branche hat seinen Standort in Wien (37%). Die </w:t>
      </w:r>
      <w:r w:rsidRPr="00A114E6">
        <w:rPr>
          <w:bCs/>
          <w:sz w:val="21"/>
          <w:szCs w:val="21"/>
        </w:rPr>
        <w:t>Steiermark</w:t>
      </w:r>
      <w:r w:rsidRPr="00A114E6">
        <w:rPr>
          <w:sz w:val="21"/>
          <w:szCs w:val="21"/>
        </w:rPr>
        <w:t xml:space="preserve"> liegt mit einem </w:t>
      </w:r>
      <w:r w:rsidRPr="00A114E6">
        <w:rPr>
          <w:bCs/>
          <w:sz w:val="21"/>
          <w:szCs w:val="21"/>
        </w:rPr>
        <w:t>Bedarf von derzeit 4.400 IT-SpezialistInnen</w:t>
      </w:r>
      <w:r w:rsidRPr="00A114E6">
        <w:rPr>
          <w:sz w:val="21"/>
          <w:szCs w:val="21"/>
        </w:rPr>
        <w:t xml:space="preserve"> an dritter Stelle des regionalen Vergleichs.</w:t>
      </w:r>
    </w:p>
    <w:p w14:paraId="2C35A244" w14:textId="77777777" w:rsidR="00A114E6" w:rsidRPr="00A114E6" w:rsidRDefault="00A114E6" w:rsidP="00A114E6">
      <w:pPr>
        <w:spacing w:line="240" w:lineRule="auto"/>
        <w:rPr>
          <w:sz w:val="21"/>
          <w:szCs w:val="21"/>
        </w:rPr>
      </w:pPr>
    </w:p>
    <w:p w14:paraId="209EC72C" w14:textId="77777777" w:rsidR="00A114E6" w:rsidRPr="00A114E6" w:rsidRDefault="00A114E6" w:rsidP="00A114E6">
      <w:pPr>
        <w:spacing w:line="240" w:lineRule="auto"/>
        <w:rPr>
          <w:sz w:val="21"/>
          <w:szCs w:val="21"/>
        </w:rPr>
      </w:pPr>
    </w:p>
    <w:p w14:paraId="064BACDE" w14:textId="77777777" w:rsidR="00A114E6" w:rsidRPr="00A114E6" w:rsidRDefault="00A114E6" w:rsidP="00A114E6">
      <w:pPr>
        <w:rPr>
          <w:b/>
          <w:bCs/>
          <w:i/>
          <w:iCs/>
          <w:sz w:val="23"/>
          <w:szCs w:val="23"/>
        </w:rPr>
      </w:pPr>
      <w:r w:rsidRPr="00A114E6">
        <w:rPr>
          <w:b/>
          <w:bCs/>
          <w:i/>
          <w:iCs/>
          <w:sz w:val="23"/>
          <w:szCs w:val="23"/>
        </w:rPr>
        <w:t>Matching von Angebot und Nachfrage - regionale Spannungsfelder</w:t>
      </w:r>
    </w:p>
    <w:p w14:paraId="203377DF" w14:textId="77777777" w:rsidR="00A114E6" w:rsidRPr="00A114E6" w:rsidRDefault="00A114E6" w:rsidP="00A114E6">
      <w:pPr>
        <w:spacing w:line="240" w:lineRule="auto"/>
        <w:rPr>
          <w:sz w:val="21"/>
          <w:szCs w:val="21"/>
        </w:rPr>
      </w:pPr>
    </w:p>
    <w:p w14:paraId="718A7AD4" w14:textId="77777777" w:rsidR="00A114E6" w:rsidRPr="00A114E6" w:rsidRDefault="00A114E6" w:rsidP="00A114E6">
      <w:pPr>
        <w:rPr>
          <w:sz w:val="21"/>
          <w:szCs w:val="21"/>
        </w:rPr>
      </w:pPr>
      <w:r w:rsidRPr="00A114E6">
        <w:rPr>
          <w:sz w:val="21"/>
          <w:szCs w:val="21"/>
        </w:rPr>
        <w:t>Laut IWI-Befragung ist in Vorarlberg im Bundesländer-Ranking der anteilsmäßig größte IT-Fachkräftemangel auszuweisen: 30% des benötigten IT-Personals der Unternehmen des Untersuchungssamples können durch das Angebot nicht abgedeckt werden. Der fehlende regionale IT-Output wirkt sich auf einer Vielzahl an Bildungsebenen aus. Mit Ausnahme der HAK/HASCH und einiger FH-Studiengänge kann Vorarlberg nur in geringem Maße IT-Qualifikationsoutput generieren. Sollte das Bundesland es nicht schaffen, mobile IT-Fachkräfte (auch grenzüberschreitend) aus anderen Re</w:t>
      </w:r>
      <w:r w:rsidRPr="00A114E6">
        <w:rPr>
          <w:sz w:val="21"/>
          <w:szCs w:val="21"/>
        </w:rPr>
        <w:softHyphen/>
        <w:t xml:space="preserve">gionen zu akquirieren, so könnte dies für die Zukunft einen signifikanten Wettbewerbsnachteil bedeuten. </w:t>
      </w:r>
    </w:p>
    <w:p w14:paraId="68970888" w14:textId="77777777" w:rsidR="00A114E6" w:rsidRPr="00A114E6" w:rsidRDefault="00A114E6" w:rsidP="00A114E6">
      <w:pPr>
        <w:spacing w:line="240" w:lineRule="auto"/>
        <w:rPr>
          <w:sz w:val="21"/>
          <w:szCs w:val="21"/>
        </w:rPr>
      </w:pPr>
    </w:p>
    <w:p w14:paraId="052F2A71" w14:textId="77777777" w:rsidR="00A114E6" w:rsidRPr="00A114E6" w:rsidRDefault="00A114E6" w:rsidP="00A114E6">
      <w:pPr>
        <w:rPr>
          <w:sz w:val="21"/>
          <w:szCs w:val="21"/>
        </w:rPr>
      </w:pPr>
      <w:r w:rsidRPr="00A114E6">
        <w:rPr>
          <w:sz w:val="21"/>
          <w:szCs w:val="21"/>
        </w:rPr>
        <w:t xml:space="preserve">Im Burgenland, in Salzburg und in Wien können laut IWI-Erhebung je 27% des benötigten IT-Personals nicht besetzt werden. Die burgenländischen Unternehmen weisen im österreichweiten Vergleich die geringste Nachfrage nach IT-Fachkräften auf, wobei der große Bedarf im Bereich Automatisierung &amp; Artificial Intelligence sichtbar ist; etwa ein Drittel des gesamten Deltas entspringt diesem Kompetenzfeld. Dies ist exakt jener Bereich, in dem das Burgenland einen unterdurchschnittlichen Output mit passenden IT-Kompetenzen aufweist. </w:t>
      </w:r>
    </w:p>
    <w:p w14:paraId="7D7BED24" w14:textId="77777777" w:rsidR="00A114E6" w:rsidRPr="00A114E6" w:rsidRDefault="00A114E6" w:rsidP="00A114E6">
      <w:pPr>
        <w:spacing w:line="240" w:lineRule="auto"/>
        <w:rPr>
          <w:sz w:val="21"/>
          <w:szCs w:val="21"/>
        </w:rPr>
      </w:pPr>
    </w:p>
    <w:p w14:paraId="164571D8" w14:textId="77777777" w:rsidR="00A114E6" w:rsidRPr="00A114E6" w:rsidRDefault="00A114E6" w:rsidP="00A114E6">
      <w:pPr>
        <w:rPr>
          <w:sz w:val="21"/>
          <w:szCs w:val="21"/>
        </w:rPr>
      </w:pPr>
      <w:r w:rsidRPr="00A114E6">
        <w:rPr>
          <w:sz w:val="21"/>
          <w:szCs w:val="21"/>
        </w:rPr>
        <w:t>In Salzburg mangelt es in erster Linie an Personal im Bereich Software Engineering &amp; Web Development, die Hälfte des geschichtet hochgerechneten Bedarfs fallen hier an. Gerade in diesem Bereich gibt es wenig Angebot entsprechender IT-Ausbildungen und somit ein besonderes thematisches Spannungsfeld: kein anderes Bundesland zeigt bei einem Kompetenzfeld ähnlich große Schwierigkeiten entsprechende IT-Fachkräfte zu finden.</w:t>
      </w:r>
    </w:p>
    <w:p w14:paraId="012D3760" w14:textId="77777777" w:rsidR="00A114E6" w:rsidRPr="00A114E6" w:rsidRDefault="00A114E6" w:rsidP="00A114E6">
      <w:pPr>
        <w:spacing w:line="240" w:lineRule="auto"/>
        <w:rPr>
          <w:sz w:val="21"/>
          <w:szCs w:val="21"/>
        </w:rPr>
      </w:pPr>
    </w:p>
    <w:p w14:paraId="3EB2116D" w14:textId="77777777" w:rsidR="00A114E6" w:rsidRPr="00A114E6" w:rsidRDefault="00A114E6" w:rsidP="00A114E6">
      <w:pPr>
        <w:rPr>
          <w:sz w:val="21"/>
          <w:szCs w:val="21"/>
        </w:rPr>
      </w:pPr>
      <w:r w:rsidRPr="00A114E6">
        <w:rPr>
          <w:sz w:val="21"/>
          <w:szCs w:val="21"/>
        </w:rPr>
        <w:t>Obwohl es in Wien über sämtliche Bildungsebenen genügend IT-Qualifikationsoutput (Anteil an Österreich: 33%) geben sollte, reicht dieser nicht aus um den Fachkräftebedarf zu decken. Da Wien als Bundeshauptstadt mit dem dichtesten Netz an Bildungsangeboten Studierende aus ganz Österreich anzieht, bedient es auch die anderen Bundesländer mit IT-Qualifikationen. Zudem werden sämtliche Ministerien versorgt, welche ebenso eine beträchtliche Anzahl an IT-Fachkräften nachfragen. Verstärkt wird der Engpass durch Zugangsbeschränkungen bei universitären IKT-Studien. Somit kann Wien sein überdurchschnittliches Gewicht auf tertiärer Ebene nicht vollständig ausnutzen.</w:t>
      </w:r>
    </w:p>
    <w:p w14:paraId="50535B3D" w14:textId="77777777" w:rsidR="00A114E6" w:rsidRPr="00A114E6" w:rsidRDefault="00A114E6" w:rsidP="00A114E6">
      <w:pPr>
        <w:spacing w:line="240" w:lineRule="auto"/>
        <w:rPr>
          <w:sz w:val="21"/>
          <w:szCs w:val="21"/>
        </w:rPr>
      </w:pPr>
    </w:p>
    <w:p w14:paraId="523BC672" w14:textId="77777777" w:rsidR="00791ED6" w:rsidRDefault="00A114E6" w:rsidP="00A114E6">
      <w:pPr>
        <w:rPr>
          <w:sz w:val="21"/>
          <w:szCs w:val="21"/>
        </w:rPr>
        <w:sectPr w:rsidR="00791ED6" w:rsidSect="00791ED6">
          <w:pgSz w:w="11906" w:h="16838"/>
          <w:pgMar w:top="1135" w:right="991" w:bottom="1134" w:left="1417" w:header="708" w:footer="708" w:gutter="0"/>
          <w:cols w:space="708"/>
          <w:docGrid w:linePitch="360"/>
        </w:sectPr>
      </w:pPr>
      <w:r w:rsidRPr="00A114E6">
        <w:rPr>
          <w:sz w:val="21"/>
          <w:szCs w:val="21"/>
        </w:rPr>
        <w:t>In Tirol werden primär Fachkräfte in IT-Support &amp; Anwendungsbetreuung sowie in IT-Systems &amp; Security benötigt. Die mittleren Qualifikationsstufen sind im Bundesland schwächer vertreten, wodurch u.a. der Bereich IT-Systems &amp; Security schlechter bedient werden kann. Zudem ist der Anteil der HTL am IT-Qualifikationsoutput in Tirol geringer als in sämtlichen anderen Bundesländern. Tirol kämpft ebenso mit dem geringeren IT-Bildungsangebot im Westen Österreichs und steht mit Vorarlberg und Salzburg im interregionalen Wet</w:t>
      </w:r>
      <w:r w:rsidR="00791ED6">
        <w:rPr>
          <w:sz w:val="21"/>
          <w:szCs w:val="21"/>
        </w:rPr>
        <w:t>tstreit um die besten IT-Köpfe.</w:t>
      </w:r>
    </w:p>
    <w:p w14:paraId="4D4F3E03" w14:textId="12D874AF" w:rsidR="003659AC" w:rsidRDefault="003659AC" w:rsidP="003659AC">
      <w:pPr>
        <w:pStyle w:val="Beschriftung"/>
      </w:pPr>
      <w:r>
        <w:t>Abb.:</w:t>
      </w:r>
      <w:r>
        <w:tab/>
        <w:t xml:space="preserve">IT-Kompetenzoutput und Aufteilung des IT-Fachkräftebedarfs </w:t>
      </w:r>
      <w:r>
        <w:br/>
        <w:t>nach Bereichen in Bundesländern</w:t>
      </w:r>
    </w:p>
    <w:p w14:paraId="28E013E5" w14:textId="767DC6AD" w:rsidR="00A114E6" w:rsidRDefault="00A114E6" w:rsidP="00A114E6">
      <w:pPr>
        <w:rPr>
          <w:sz w:val="21"/>
          <w:szCs w:val="21"/>
        </w:rPr>
      </w:pPr>
    </w:p>
    <w:p w14:paraId="5D9F6CC4" w14:textId="77777777" w:rsidR="003659AC" w:rsidRDefault="003659AC" w:rsidP="00A114E6">
      <w:pPr>
        <w:rPr>
          <w:sz w:val="21"/>
          <w:szCs w:val="21"/>
        </w:rPr>
      </w:pPr>
    </w:p>
    <w:p w14:paraId="481C920A" w14:textId="1B15F95A" w:rsidR="003659AC" w:rsidRDefault="003659AC" w:rsidP="00A114E6">
      <w:pPr>
        <w:rPr>
          <w:sz w:val="21"/>
          <w:szCs w:val="21"/>
        </w:rPr>
      </w:pPr>
      <w:r>
        <w:rPr>
          <w:noProof/>
          <w:lang w:val="de-DE"/>
        </w:rPr>
        <w:drawing>
          <wp:inline distT="0" distB="0" distL="0" distR="0" wp14:anchorId="78CEA1D5" wp14:editId="670E9956">
            <wp:extent cx="9239535" cy="4537881"/>
            <wp:effectExtent l="0" t="0" r="0" b="0"/>
            <wp:docPr id="5" name="Grafik 5"/>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41224" cy="4538710"/>
                    </a:xfrm>
                    <a:prstGeom prst="rect">
                      <a:avLst/>
                    </a:prstGeom>
                    <a:noFill/>
                    <a:ln>
                      <a:noFill/>
                    </a:ln>
                  </pic:spPr>
                </pic:pic>
              </a:graphicData>
            </a:graphic>
          </wp:inline>
        </w:drawing>
      </w:r>
    </w:p>
    <w:p w14:paraId="350BA34D" w14:textId="1A847DE4" w:rsidR="003659AC" w:rsidRDefault="003659AC" w:rsidP="003659AC">
      <w:pPr>
        <w:rPr>
          <w:sz w:val="21"/>
          <w:szCs w:val="21"/>
        </w:rPr>
      </w:pPr>
    </w:p>
    <w:p w14:paraId="5415D365" w14:textId="77777777" w:rsidR="003659AC" w:rsidRDefault="003659AC" w:rsidP="003659AC">
      <w:pPr>
        <w:rPr>
          <w:sz w:val="21"/>
          <w:szCs w:val="21"/>
        </w:rPr>
        <w:sectPr w:rsidR="003659AC" w:rsidSect="00791ED6">
          <w:pgSz w:w="16838" w:h="11906" w:orient="landscape"/>
          <w:pgMar w:top="991" w:right="1134" w:bottom="1417" w:left="1135" w:header="708" w:footer="708" w:gutter="0"/>
          <w:cols w:space="708"/>
          <w:docGrid w:linePitch="360"/>
        </w:sectPr>
      </w:pPr>
    </w:p>
    <w:tbl>
      <w:tblPr>
        <w:tblW w:w="14598" w:type="dxa"/>
        <w:tblInd w:w="65" w:type="dxa"/>
        <w:shd w:val="clear" w:color="auto" w:fill="FFFFFF" w:themeFill="background1"/>
        <w:tblCellMar>
          <w:left w:w="70" w:type="dxa"/>
          <w:right w:w="70" w:type="dxa"/>
        </w:tblCellMar>
        <w:tblLook w:val="04A0" w:firstRow="1" w:lastRow="0" w:firstColumn="1" w:lastColumn="0" w:noHBand="0" w:noVBand="1"/>
      </w:tblPr>
      <w:tblGrid>
        <w:gridCol w:w="3581"/>
        <w:gridCol w:w="1614"/>
        <w:gridCol w:w="1612"/>
        <w:gridCol w:w="1612"/>
        <w:gridCol w:w="1612"/>
        <w:gridCol w:w="1614"/>
        <w:gridCol w:w="1381"/>
        <w:gridCol w:w="1572"/>
      </w:tblGrid>
      <w:tr w:rsidR="003659AC" w14:paraId="67023561" w14:textId="77777777" w:rsidTr="00852B1F">
        <w:trPr>
          <w:trHeight w:val="571"/>
        </w:trPr>
        <w:tc>
          <w:tcPr>
            <w:tcW w:w="3581" w:type="dxa"/>
            <w:vMerge w:val="restart"/>
            <w:tcBorders>
              <w:top w:val="single" w:sz="4" w:space="0" w:color="auto"/>
              <w:left w:val="nil"/>
              <w:bottom w:val="single" w:sz="4" w:space="0" w:color="000000" w:themeColor="text1"/>
              <w:right w:val="nil"/>
            </w:tcBorders>
            <w:shd w:val="clear" w:color="auto" w:fill="FFFFFF" w:themeFill="background1"/>
            <w:vAlign w:val="center"/>
            <w:hideMark/>
          </w:tcPr>
          <w:p w14:paraId="5BC2DD9D" w14:textId="77777777" w:rsidR="003659AC" w:rsidRPr="00852B1F" w:rsidRDefault="003659AC">
            <w:pPr>
              <w:tabs>
                <w:tab w:val="left" w:pos="709"/>
              </w:tabs>
              <w:autoSpaceDN w:val="0"/>
              <w:spacing w:line="240" w:lineRule="auto"/>
              <w:jc w:val="center"/>
              <w:rPr>
                <w:rFonts w:ascii="Arial" w:eastAsia="Times New Roman" w:hAnsi="Arial" w:cs="Arial"/>
                <w:b/>
                <w:bCs/>
                <w:color w:val="000000"/>
                <w:lang w:eastAsia="de-AT"/>
              </w:rPr>
            </w:pPr>
            <w:r w:rsidRPr="00852B1F">
              <w:rPr>
                <w:rFonts w:ascii="Arial" w:hAnsi="Arial" w:cs="Arial"/>
                <w:b/>
                <w:bCs/>
                <w:color w:val="000000"/>
                <w:lang w:eastAsia="de-AT"/>
              </w:rPr>
              <w:t>IT-Fachkräftebedarf</w:t>
            </w:r>
          </w:p>
        </w:tc>
        <w:tc>
          <w:tcPr>
            <w:tcW w:w="1614" w:type="dxa"/>
            <w:vMerge w:val="restart"/>
            <w:tcBorders>
              <w:top w:val="single" w:sz="4" w:space="0" w:color="auto"/>
              <w:left w:val="nil"/>
              <w:bottom w:val="single" w:sz="4" w:space="0" w:color="000000" w:themeColor="text1"/>
              <w:right w:val="nil"/>
            </w:tcBorders>
            <w:shd w:val="clear" w:color="auto" w:fill="FFFFFF" w:themeFill="background1"/>
            <w:textDirection w:val="btLr"/>
            <w:vAlign w:val="center"/>
            <w:hideMark/>
          </w:tcPr>
          <w:p w14:paraId="5DBCBBDC" w14:textId="77777777" w:rsidR="003659AC" w:rsidRPr="00852B1F" w:rsidRDefault="003659AC">
            <w:pPr>
              <w:spacing w:line="240" w:lineRule="auto"/>
              <w:jc w:val="center"/>
              <w:rPr>
                <w:rFonts w:ascii="Arial" w:eastAsia="Times New Roman" w:hAnsi="Arial" w:cs="Arial"/>
                <w:color w:val="000000"/>
                <w:sz w:val="20"/>
                <w:szCs w:val="20"/>
                <w:lang w:eastAsia="de-AT"/>
              </w:rPr>
            </w:pPr>
            <w:r w:rsidRPr="00852B1F">
              <w:rPr>
                <w:rFonts w:ascii="Arial" w:hAnsi="Arial" w:cs="Arial"/>
                <w:color w:val="000000"/>
                <w:sz w:val="20"/>
                <w:szCs w:val="20"/>
                <w:lang w:eastAsia="de-AT"/>
              </w:rPr>
              <w:t>Anteil des nicht gedeckten</w:t>
            </w:r>
          </w:p>
          <w:p w14:paraId="2C7FC003" w14:textId="77777777" w:rsidR="003659AC" w:rsidRPr="00852B1F" w:rsidRDefault="003659AC">
            <w:pPr>
              <w:spacing w:line="240" w:lineRule="auto"/>
              <w:jc w:val="center"/>
              <w:rPr>
                <w:rFonts w:ascii="Arial" w:hAnsi="Arial" w:cs="Arial"/>
                <w:color w:val="000000"/>
                <w:sz w:val="20"/>
                <w:szCs w:val="20"/>
                <w:lang w:eastAsia="de-AT"/>
              </w:rPr>
            </w:pPr>
            <w:r w:rsidRPr="00852B1F">
              <w:rPr>
                <w:rFonts w:ascii="Arial" w:hAnsi="Arial" w:cs="Arial"/>
                <w:color w:val="000000"/>
                <w:sz w:val="20"/>
                <w:szCs w:val="20"/>
                <w:lang w:eastAsia="de-AT"/>
              </w:rPr>
              <w:t xml:space="preserve">IT-Fachkräftebedarfs </w:t>
            </w:r>
          </w:p>
          <w:p w14:paraId="3BF60BCE" w14:textId="77777777" w:rsidR="003659AC" w:rsidRPr="00852B1F" w:rsidRDefault="003659AC">
            <w:pPr>
              <w:tabs>
                <w:tab w:val="left" w:pos="426"/>
                <w:tab w:val="left" w:pos="709"/>
              </w:tabs>
              <w:overflowPunct w:val="0"/>
              <w:autoSpaceDE w:val="0"/>
              <w:autoSpaceDN w:val="0"/>
              <w:adjustRightInd w:val="0"/>
              <w:spacing w:line="240" w:lineRule="auto"/>
              <w:jc w:val="center"/>
              <w:rPr>
                <w:rFonts w:ascii="Arial" w:eastAsia="Times New Roman" w:hAnsi="Arial" w:cs="Arial"/>
                <w:color w:val="000000"/>
                <w:sz w:val="20"/>
                <w:szCs w:val="20"/>
                <w:lang w:eastAsia="de-AT"/>
              </w:rPr>
            </w:pPr>
            <w:r w:rsidRPr="00852B1F">
              <w:rPr>
                <w:rFonts w:ascii="Arial" w:hAnsi="Arial" w:cs="Arial"/>
                <w:color w:val="000000"/>
                <w:sz w:val="20"/>
                <w:szCs w:val="20"/>
                <w:lang w:eastAsia="de-AT"/>
              </w:rPr>
              <w:t>insgesamt in %</w:t>
            </w:r>
          </w:p>
        </w:tc>
        <w:tc>
          <w:tcPr>
            <w:tcW w:w="9403" w:type="dxa"/>
            <w:gridSpan w:val="6"/>
            <w:tcBorders>
              <w:top w:val="single" w:sz="4" w:space="0" w:color="auto"/>
              <w:left w:val="nil"/>
              <w:bottom w:val="single" w:sz="4" w:space="0" w:color="000000" w:themeColor="text1"/>
              <w:right w:val="nil"/>
            </w:tcBorders>
            <w:shd w:val="clear" w:color="auto" w:fill="FFFFFF" w:themeFill="background1"/>
            <w:vAlign w:val="center"/>
            <w:hideMark/>
          </w:tcPr>
          <w:p w14:paraId="692FBA12" w14:textId="77777777" w:rsidR="003659AC" w:rsidRPr="00852B1F" w:rsidRDefault="003659AC">
            <w:pPr>
              <w:tabs>
                <w:tab w:val="left" w:pos="709"/>
              </w:tabs>
              <w:autoSpaceDN w:val="0"/>
              <w:spacing w:line="240" w:lineRule="auto"/>
              <w:jc w:val="center"/>
              <w:rPr>
                <w:rFonts w:ascii="Arial" w:eastAsia="Times New Roman" w:hAnsi="Arial" w:cs="Arial"/>
                <w:i/>
                <w:iCs/>
                <w:color w:val="000000"/>
                <w:sz w:val="20"/>
                <w:szCs w:val="20"/>
                <w:lang w:eastAsia="de-AT"/>
              </w:rPr>
            </w:pPr>
            <w:r w:rsidRPr="00852B1F">
              <w:rPr>
                <w:rFonts w:ascii="Arial" w:hAnsi="Arial" w:cs="Arial"/>
                <w:i/>
                <w:iCs/>
                <w:color w:val="000000"/>
                <w:sz w:val="20"/>
                <w:szCs w:val="20"/>
                <w:lang w:eastAsia="de-AT"/>
              </w:rPr>
              <w:t>davon:</w:t>
            </w:r>
          </w:p>
        </w:tc>
      </w:tr>
      <w:tr w:rsidR="00852B1F" w14:paraId="4C16D9B7" w14:textId="77777777" w:rsidTr="00852B1F">
        <w:trPr>
          <w:trHeight w:val="3340"/>
        </w:trPr>
        <w:tc>
          <w:tcPr>
            <w:tcW w:w="0" w:type="auto"/>
            <w:vMerge/>
            <w:tcBorders>
              <w:top w:val="single" w:sz="4" w:space="0" w:color="auto"/>
              <w:left w:val="nil"/>
              <w:bottom w:val="single" w:sz="4" w:space="0" w:color="000000" w:themeColor="text1"/>
              <w:right w:val="nil"/>
            </w:tcBorders>
            <w:shd w:val="clear" w:color="auto" w:fill="FFFFFF" w:themeFill="background1"/>
            <w:vAlign w:val="center"/>
            <w:hideMark/>
          </w:tcPr>
          <w:p w14:paraId="5AC6B935" w14:textId="77777777" w:rsidR="003659AC" w:rsidRDefault="003659AC">
            <w:pPr>
              <w:spacing w:line="240" w:lineRule="auto"/>
              <w:rPr>
                <w:rFonts w:ascii="Arial" w:eastAsia="Times New Roman" w:hAnsi="Arial" w:cs="Arial"/>
                <w:b/>
                <w:bCs/>
                <w:color w:val="000000"/>
                <w:sz w:val="18"/>
                <w:szCs w:val="18"/>
                <w:lang w:eastAsia="de-AT"/>
              </w:rPr>
            </w:pPr>
          </w:p>
        </w:tc>
        <w:tc>
          <w:tcPr>
            <w:tcW w:w="0" w:type="auto"/>
            <w:vMerge/>
            <w:tcBorders>
              <w:top w:val="single" w:sz="4" w:space="0" w:color="auto"/>
              <w:left w:val="nil"/>
              <w:bottom w:val="single" w:sz="4" w:space="0" w:color="000000" w:themeColor="text1"/>
              <w:right w:val="nil"/>
            </w:tcBorders>
            <w:shd w:val="clear" w:color="auto" w:fill="FFFFFF" w:themeFill="background1"/>
            <w:vAlign w:val="center"/>
            <w:hideMark/>
          </w:tcPr>
          <w:p w14:paraId="14BC0078" w14:textId="77777777" w:rsidR="003659AC" w:rsidRPr="00852B1F" w:rsidRDefault="003659AC">
            <w:pPr>
              <w:spacing w:line="240" w:lineRule="auto"/>
              <w:rPr>
                <w:rFonts w:ascii="Arial" w:eastAsia="Times New Roman" w:hAnsi="Arial" w:cs="Arial"/>
                <w:color w:val="000000"/>
                <w:sz w:val="20"/>
                <w:szCs w:val="20"/>
                <w:lang w:eastAsia="de-AT"/>
              </w:rPr>
            </w:pPr>
          </w:p>
        </w:tc>
        <w:tc>
          <w:tcPr>
            <w:tcW w:w="1612" w:type="dxa"/>
            <w:tcBorders>
              <w:top w:val="nil"/>
              <w:left w:val="nil"/>
              <w:bottom w:val="single" w:sz="4" w:space="0" w:color="000000" w:themeColor="text1"/>
              <w:right w:val="nil"/>
            </w:tcBorders>
            <w:shd w:val="clear" w:color="auto" w:fill="FFFFFF" w:themeFill="background1"/>
            <w:textDirection w:val="btLr"/>
            <w:vAlign w:val="center"/>
            <w:hideMark/>
          </w:tcPr>
          <w:p w14:paraId="0B6AC9BF" w14:textId="77777777" w:rsidR="003659AC" w:rsidRPr="00852B1F" w:rsidRDefault="003659AC">
            <w:pPr>
              <w:tabs>
                <w:tab w:val="left" w:pos="709"/>
              </w:tabs>
              <w:autoSpaceDN w:val="0"/>
              <w:spacing w:line="240" w:lineRule="auto"/>
              <w:jc w:val="center"/>
              <w:rPr>
                <w:rFonts w:ascii="Arial" w:eastAsia="Times New Roman" w:hAnsi="Arial" w:cs="Arial"/>
                <w:color w:val="000000"/>
                <w:sz w:val="20"/>
                <w:szCs w:val="20"/>
                <w:lang w:eastAsia="de-AT"/>
              </w:rPr>
            </w:pPr>
            <w:r w:rsidRPr="00852B1F">
              <w:rPr>
                <w:rFonts w:ascii="Arial" w:hAnsi="Arial" w:cs="Arial"/>
                <w:color w:val="000000"/>
                <w:sz w:val="20"/>
                <w:szCs w:val="20"/>
                <w:lang w:eastAsia="de-AT"/>
              </w:rPr>
              <w:t>Data Science</w:t>
            </w:r>
          </w:p>
        </w:tc>
        <w:tc>
          <w:tcPr>
            <w:tcW w:w="1612" w:type="dxa"/>
            <w:tcBorders>
              <w:top w:val="nil"/>
              <w:left w:val="nil"/>
              <w:bottom w:val="single" w:sz="4" w:space="0" w:color="000000" w:themeColor="text1"/>
              <w:right w:val="nil"/>
            </w:tcBorders>
            <w:shd w:val="clear" w:color="auto" w:fill="FFFFFF" w:themeFill="background1"/>
            <w:textDirection w:val="btLr"/>
            <w:vAlign w:val="center"/>
            <w:hideMark/>
          </w:tcPr>
          <w:p w14:paraId="1ACA692C" w14:textId="77777777" w:rsidR="003659AC" w:rsidRPr="00852B1F" w:rsidRDefault="003659AC">
            <w:pPr>
              <w:tabs>
                <w:tab w:val="left" w:pos="709"/>
              </w:tabs>
              <w:autoSpaceDN w:val="0"/>
              <w:spacing w:line="240" w:lineRule="auto"/>
              <w:jc w:val="center"/>
              <w:rPr>
                <w:rFonts w:ascii="Arial" w:eastAsia="Times New Roman" w:hAnsi="Arial" w:cs="Arial"/>
                <w:color w:val="000000"/>
                <w:sz w:val="20"/>
                <w:szCs w:val="20"/>
                <w:lang w:eastAsia="de-AT"/>
              </w:rPr>
            </w:pPr>
            <w:r w:rsidRPr="00852B1F">
              <w:rPr>
                <w:rFonts w:ascii="Arial" w:hAnsi="Arial" w:cs="Arial"/>
                <w:color w:val="000000"/>
                <w:sz w:val="20"/>
                <w:szCs w:val="20"/>
                <w:lang w:eastAsia="de-AT"/>
              </w:rPr>
              <w:t>IT-Systems &amp; Security</w:t>
            </w:r>
          </w:p>
        </w:tc>
        <w:tc>
          <w:tcPr>
            <w:tcW w:w="1612" w:type="dxa"/>
            <w:tcBorders>
              <w:top w:val="nil"/>
              <w:left w:val="nil"/>
              <w:bottom w:val="single" w:sz="4" w:space="0" w:color="000000" w:themeColor="text1"/>
              <w:right w:val="nil"/>
            </w:tcBorders>
            <w:shd w:val="clear" w:color="auto" w:fill="FFFFFF" w:themeFill="background1"/>
            <w:textDirection w:val="btLr"/>
            <w:vAlign w:val="center"/>
            <w:hideMark/>
          </w:tcPr>
          <w:p w14:paraId="62318D15" w14:textId="77777777" w:rsidR="003659AC" w:rsidRPr="00852B1F" w:rsidRDefault="003659AC">
            <w:pPr>
              <w:spacing w:line="240" w:lineRule="auto"/>
              <w:jc w:val="center"/>
              <w:rPr>
                <w:rFonts w:ascii="Arial" w:eastAsia="Times New Roman" w:hAnsi="Arial" w:cs="Arial"/>
                <w:color w:val="000000"/>
                <w:sz w:val="20"/>
                <w:szCs w:val="20"/>
                <w:lang w:eastAsia="de-AT"/>
              </w:rPr>
            </w:pPr>
            <w:r w:rsidRPr="00852B1F">
              <w:rPr>
                <w:rFonts w:ascii="Arial" w:hAnsi="Arial" w:cs="Arial"/>
                <w:color w:val="000000"/>
                <w:sz w:val="20"/>
                <w:szCs w:val="20"/>
                <w:lang w:eastAsia="de-AT"/>
              </w:rPr>
              <w:t>IT-Support &amp;</w:t>
            </w:r>
          </w:p>
          <w:p w14:paraId="21FE3F24" w14:textId="77777777" w:rsidR="003659AC" w:rsidRPr="00852B1F" w:rsidRDefault="003659AC">
            <w:pPr>
              <w:tabs>
                <w:tab w:val="left" w:pos="709"/>
              </w:tabs>
              <w:autoSpaceDN w:val="0"/>
              <w:spacing w:line="240" w:lineRule="auto"/>
              <w:jc w:val="center"/>
              <w:rPr>
                <w:rFonts w:ascii="Arial" w:eastAsia="Times New Roman" w:hAnsi="Arial" w:cs="Arial"/>
                <w:color w:val="000000"/>
                <w:sz w:val="20"/>
                <w:szCs w:val="20"/>
                <w:lang w:eastAsia="de-AT"/>
              </w:rPr>
            </w:pPr>
            <w:r w:rsidRPr="00852B1F">
              <w:rPr>
                <w:rFonts w:ascii="Arial" w:hAnsi="Arial" w:cs="Arial"/>
                <w:color w:val="000000"/>
                <w:sz w:val="20"/>
                <w:szCs w:val="20"/>
                <w:lang w:eastAsia="de-AT"/>
              </w:rPr>
              <w:t>Anwendungsbetreuung</w:t>
            </w:r>
          </w:p>
        </w:tc>
        <w:tc>
          <w:tcPr>
            <w:tcW w:w="1614" w:type="dxa"/>
            <w:tcBorders>
              <w:top w:val="nil"/>
              <w:left w:val="nil"/>
              <w:bottom w:val="single" w:sz="4" w:space="0" w:color="000000" w:themeColor="text1"/>
              <w:right w:val="nil"/>
            </w:tcBorders>
            <w:shd w:val="clear" w:color="auto" w:fill="FFFFFF" w:themeFill="background1"/>
            <w:textDirection w:val="btLr"/>
            <w:vAlign w:val="center"/>
            <w:hideMark/>
          </w:tcPr>
          <w:p w14:paraId="31C8F9C2" w14:textId="77777777" w:rsidR="003659AC" w:rsidRPr="00852B1F" w:rsidRDefault="003659AC">
            <w:pPr>
              <w:tabs>
                <w:tab w:val="left" w:pos="709"/>
              </w:tabs>
              <w:autoSpaceDN w:val="0"/>
              <w:spacing w:line="240" w:lineRule="auto"/>
              <w:jc w:val="center"/>
              <w:rPr>
                <w:rFonts w:ascii="Arial" w:eastAsia="Times New Roman" w:hAnsi="Arial" w:cs="Arial"/>
                <w:color w:val="000000"/>
                <w:sz w:val="20"/>
                <w:szCs w:val="20"/>
                <w:lang w:eastAsia="de-AT"/>
              </w:rPr>
            </w:pPr>
            <w:r w:rsidRPr="00852B1F">
              <w:rPr>
                <w:rFonts w:ascii="Arial" w:hAnsi="Arial" w:cs="Arial"/>
                <w:color w:val="000000"/>
                <w:sz w:val="20"/>
                <w:szCs w:val="20"/>
                <w:lang w:eastAsia="de-AT"/>
              </w:rPr>
              <w:t>Software Engineering &amp; Web Development</w:t>
            </w:r>
          </w:p>
        </w:tc>
        <w:tc>
          <w:tcPr>
            <w:tcW w:w="1381" w:type="dxa"/>
            <w:tcBorders>
              <w:top w:val="nil"/>
              <w:left w:val="nil"/>
              <w:bottom w:val="single" w:sz="4" w:space="0" w:color="000000" w:themeColor="text1"/>
              <w:right w:val="nil"/>
            </w:tcBorders>
            <w:shd w:val="clear" w:color="auto" w:fill="FFFFFF" w:themeFill="background1"/>
            <w:textDirection w:val="btLr"/>
            <w:vAlign w:val="center"/>
            <w:hideMark/>
          </w:tcPr>
          <w:p w14:paraId="06224B5E" w14:textId="77777777" w:rsidR="003659AC" w:rsidRPr="00852B1F" w:rsidRDefault="003659AC">
            <w:pPr>
              <w:spacing w:line="240" w:lineRule="auto"/>
              <w:jc w:val="center"/>
              <w:rPr>
                <w:rFonts w:ascii="Arial" w:eastAsia="Times New Roman" w:hAnsi="Arial" w:cs="Arial"/>
                <w:color w:val="000000"/>
                <w:sz w:val="20"/>
                <w:szCs w:val="20"/>
                <w:lang w:eastAsia="de-AT"/>
              </w:rPr>
            </w:pPr>
            <w:r w:rsidRPr="00852B1F">
              <w:rPr>
                <w:rFonts w:ascii="Arial" w:hAnsi="Arial" w:cs="Arial"/>
                <w:color w:val="000000"/>
                <w:sz w:val="20"/>
                <w:szCs w:val="20"/>
                <w:lang w:eastAsia="de-AT"/>
              </w:rPr>
              <w:t>IT-Analyse &amp;</w:t>
            </w:r>
          </w:p>
          <w:p w14:paraId="6CB1F7FD" w14:textId="77777777" w:rsidR="003659AC" w:rsidRPr="00852B1F" w:rsidRDefault="003659AC">
            <w:pPr>
              <w:tabs>
                <w:tab w:val="left" w:pos="709"/>
              </w:tabs>
              <w:autoSpaceDN w:val="0"/>
              <w:spacing w:line="240" w:lineRule="auto"/>
              <w:jc w:val="center"/>
              <w:rPr>
                <w:rFonts w:ascii="Arial" w:eastAsia="Times New Roman" w:hAnsi="Arial" w:cs="Arial"/>
                <w:color w:val="000000"/>
                <w:sz w:val="20"/>
                <w:szCs w:val="20"/>
                <w:lang w:eastAsia="de-AT"/>
              </w:rPr>
            </w:pPr>
            <w:r w:rsidRPr="00852B1F">
              <w:rPr>
                <w:rFonts w:ascii="Arial" w:hAnsi="Arial" w:cs="Arial"/>
                <w:color w:val="000000"/>
                <w:sz w:val="20"/>
                <w:szCs w:val="20"/>
                <w:lang w:eastAsia="de-AT"/>
              </w:rPr>
              <w:t>-Management</w:t>
            </w:r>
          </w:p>
        </w:tc>
        <w:tc>
          <w:tcPr>
            <w:tcW w:w="1570" w:type="dxa"/>
            <w:tcBorders>
              <w:top w:val="nil"/>
              <w:left w:val="nil"/>
              <w:bottom w:val="single" w:sz="4" w:space="0" w:color="000000" w:themeColor="text1"/>
              <w:right w:val="nil"/>
            </w:tcBorders>
            <w:shd w:val="clear" w:color="auto" w:fill="FFFFFF" w:themeFill="background1"/>
            <w:textDirection w:val="btLr"/>
            <w:vAlign w:val="center"/>
            <w:hideMark/>
          </w:tcPr>
          <w:p w14:paraId="02839083" w14:textId="77777777" w:rsidR="003659AC" w:rsidRPr="00852B1F" w:rsidRDefault="003659AC">
            <w:pPr>
              <w:spacing w:line="240" w:lineRule="auto"/>
              <w:jc w:val="center"/>
              <w:rPr>
                <w:rFonts w:ascii="Arial" w:eastAsia="Times New Roman" w:hAnsi="Arial" w:cs="Arial"/>
                <w:color w:val="000000"/>
                <w:sz w:val="20"/>
                <w:szCs w:val="20"/>
                <w:lang w:eastAsia="de-AT"/>
              </w:rPr>
            </w:pPr>
            <w:r w:rsidRPr="00852B1F">
              <w:rPr>
                <w:rFonts w:ascii="Arial" w:hAnsi="Arial" w:cs="Arial"/>
                <w:color w:val="000000"/>
                <w:sz w:val="20"/>
                <w:szCs w:val="20"/>
                <w:lang w:eastAsia="de-AT"/>
              </w:rPr>
              <w:t>Automatisierung &amp;</w:t>
            </w:r>
          </w:p>
          <w:p w14:paraId="0C4B9EC6" w14:textId="77777777" w:rsidR="003659AC" w:rsidRPr="00852B1F" w:rsidRDefault="003659AC">
            <w:pPr>
              <w:tabs>
                <w:tab w:val="left" w:pos="709"/>
              </w:tabs>
              <w:autoSpaceDN w:val="0"/>
              <w:spacing w:line="240" w:lineRule="auto"/>
              <w:jc w:val="center"/>
              <w:rPr>
                <w:rFonts w:ascii="Arial" w:eastAsia="Times New Roman" w:hAnsi="Arial" w:cs="Arial"/>
                <w:color w:val="000000"/>
                <w:sz w:val="20"/>
                <w:szCs w:val="20"/>
                <w:lang w:eastAsia="de-AT"/>
              </w:rPr>
            </w:pPr>
            <w:r w:rsidRPr="00852B1F">
              <w:rPr>
                <w:rFonts w:ascii="Arial" w:hAnsi="Arial" w:cs="Arial"/>
                <w:color w:val="000000"/>
                <w:sz w:val="20"/>
                <w:szCs w:val="20"/>
                <w:lang w:eastAsia="de-AT"/>
              </w:rPr>
              <w:t>Artificial Intelligence</w:t>
            </w:r>
          </w:p>
        </w:tc>
      </w:tr>
      <w:tr w:rsidR="00852B1F" w:rsidRPr="00852B1F" w14:paraId="3A9A8978" w14:textId="77777777" w:rsidTr="00852B1F">
        <w:trPr>
          <w:trHeight w:hRule="exact" w:val="556"/>
        </w:trPr>
        <w:tc>
          <w:tcPr>
            <w:tcW w:w="3581" w:type="dxa"/>
            <w:tcBorders>
              <w:top w:val="single" w:sz="4" w:space="0" w:color="000000" w:themeColor="text1"/>
              <w:left w:val="nil"/>
              <w:bottom w:val="nil"/>
              <w:right w:val="nil"/>
            </w:tcBorders>
            <w:shd w:val="clear" w:color="auto" w:fill="FFFFFF" w:themeFill="background1"/>
            <w:noWrap/>
            <w:vAlign w:val="center"/>
            <w:hideMark/>
          </w:tcPr>
          <w:p w14:paraId="23AB0C67" w14:textId="77777777" w:rsidR="003659AC" w:rsidRPr="00852B1F" w:rsidRDefault="003659AC">
            <w:pPr>
              <w:tabs>
                <w:tab w:val="left" w:pos="709"/>
              </w:tabs>
              <w:autoSpaceDN w:val="0"/>
              <w:spacing w:line="240" w:lineRule="auto"/>
              <w:rPr>
                <w:rFonts w:ascii="Arial" w:eastAsia="Times New Roman" w:hAnsi="Arial" w:cs="Arial"/>
                <w:lang w:eastAsia="de-AT"/>
              </w:rPr>
            </w:pPr>
            <w:r w:rsidRPr="00852B1F">
              <w:rPr>
                <w:rFonts w:ascii="Arial" w:hAnsi="Arial" w:cs="Arial"/>
                <w:lang w:eastAsia="de-AT"/>
              </w:rPr>
              <w:t>Vorarlberg (1.200)</w:t>
            </w:r>
          </w:p>
        </w:tc>
        <w:tc>
          <w:tcPr>
            <w:tcW w:w="1614" w:type="dxa"/>
            <w:tcBorders>
              <w:top w:val="single" w:sz="4" w:space="0" w:color="000000" w:themeColor="text1"/>
              <w:left w:val="nil"/>
              <w:bottom w:val="nil"/>
              <w:right w:val="nil"/>
            </w:tcBorders>
            <w:shd w:val="clear" w:color="auto" w:fill="FFFFFF" w:themeFill="background1"/>
            <w:vAlign w:val="center"/>
            <w:hideMark/>
          </w:tcPr>
          <w:p w14:paraId="7407882F" w14:textId="77777777" w:rsidR="003659AC" w:rsidRPr="00852B1F" w:rsidRDefault="003659AC">
            <w:pPr>
              <w:tabs>
                <w:tab w:val="left" w:pos="426"/>
                <w:tab w:val="left" w:pos="709"/>
              </w:tabs>
              <w:overflowPunct w:val="0"/>
              <w:autoSpaceDE w:val="0"/>
              <w:autoSpaceDN w:val="0"/>
              <w:adjustRightInd w:val="0"/>
              <w:spacing w:line="276" w:lineRule="auto"/>
              <w:jc w:val="center"/>
              <w:rPr>
                <w:rFonts w:ascii="Arial" w:eastAsia="Times New Roman" w:hAnsi="Arial" w:cs="Arial"/>
                <w:lang w:val="de-DE"/>
              </w:rPr>
            </w:pPr>
            <w:r w:rsidRPr="00852B1F">
              <w:rPr>
                <w:rFonts w:ascii="Arial" w:hAnsi="Arial" w:cs="Arial"/>
                <w:b/>
                <w:bCs/>
              </w:rPr>
              <w:t>30%</w:t>
            </w:r>
          </w:p>
        </w:tc>
        <w:tc>
          <w:tcPr>
            <w:tcW w:w="1612" w:type="dxa"/>
            <w:tcBorders>
              <w:top w:val="single" w:sz="4" w:space="0" w:color="000000" w:themeColor="text1"/>
              <w:left w:val="nil"/>
              <w:bottom w:val="nil"/>
              <w:right w:val="nil"/>
            </w:tcBorders>
            <w:shd w:val="clear" w:color="auto" w:fill="FFFFFF" w:themeFill="background1"/>
            <w:noWrap/>
            <w:vAlign w:val="center"/>
            <w:hideMark/>
          </w:tcPr>
          <w:p w14:paraId="600058D3" w14:textId="77777777" w:rsidR="003659AC" w:rsidRPr="00852B1F" w:rsidRDefault="003659AC">
            <w:pPr>
              <w:tabs>
                <w:tab w:val="left" w:pos="426"/>
                <w:tab w:val="left" w:pos="709"/>
              </w:tabs>
              <w:overflowPunct w:val="0"/>
              <w:autoSpaceDE w:val="0"/>
              <w:autoSpaceDN w:val="0"/>
              <w:adjustRightInd w:val="0"/>
              <w:spacing w:line="276" w:lineRule="auto"/>
              <w:jc w:val="center"/>
              <w:rPr>
                <w:rFonts w:ascii="Arial" w:eastAsia="Times New Roman" w:hAnsi="Arial" w:cs="Arial"/>
                <w:lang w:val="de-DE"/>
              </w:rPr>
            </w:pPr>
            <w:r w:rsidRPr="00852B1F">
              <w:rPr>
                <w:rFonts w:ascii="Arial" w:hAnsi="Arial" w:cs="Arial"/>
              </w:rPr>
              <w:t>7%</w:t>
            </w:r>
          </w:p>
        </w:tc>
        <w:tc>
          <w:tcPr>
            <w:tcW w:w="1612" w:type="dxa"/>
            <w:tcBorders>
              <w:top w:val="single" w:sz="4" w:space="0" w:color="000000" w:themeColor="text1"/>
              <w:left w:val="nil"/>
              <w:bottom w:val="nil"/>
              <w:right w:val="nil"/>
            </w:tcBorders>
            <w:shd w:val="clear" w:color="auto" w:fill="FFFFFF" w:themeFill="background1"/>
            <w:noWrap/>
            <w:vAlign w:val="center"/>
            <w:hideMark/>
          </w:tcPr>
          <w:p w14:paraId="085C8A45" w14:textId="77777777" w:rsidR="003659AC" w:rsidRPr="00852B1F" w:rsidRDefault="003659AC">
            <w:pPr>
              <w:tabs>
                <w:tab w:val="left" w:pos="426"/>
                <w:tab w:val="left" w:pos="709"/>
              </w:tabs>
              <w:overflowPunct w:val="0"/>
              <w:autoSpaceDE w:val="0"/>
              <w:autoSpaceDN w:val="0"/>
              <w:adjustRightInd w:val="0"/>
              <w:spacing w:line="276" w:lineRule="auto"/>
              <w:jc w:val="center"/>
              <w:rPr>
                <w:rFonts w:ascii="Arial" w:eastAsia="Times New Roman" w:hAnsi="Arial" w:cs="Arial"/>
                <w:lang w:val="de-DE"/>
              </w:rPr>
            </w:pPr>
            <w:r w:rsidRPr="00852B1F">
              <w:rPr>
                <w:rFonts w:ascii="Arial" w:hAnsi="Arial" w:cs="Arial"/>
              </w:rPr>
              <w:t>3%</w:t>
            </w:r>
          </w:p>
        </w:tc>
        <w:tc>
          <w:tcPr>
            <w:tcW w:w="1612" w:type="dxa"/>
            <w:tcBorders>
              <w:top w:val="single" w:sz="4" w:space="0" w:color="000000" w:themeColor="text1"/>
              <w:left w:val="nil"/>
              <w:bottom w:val="nil"/>
              <w:right w:val="nil"/>
            </w:tcBorders>
            <w:shd w:val="clear" w:color="auto" w:fill="FFFFFF" w:themeFill="background1"/>
            <w:noWrap/>
            <w:vAlign w:val="center"/>
            <w:hideMark/>
          </w:tcPr>
          <w:p w14:paraId="613136F5" w14:textId="77777777" w:rsidR="003659AC" w:rsidRPr="00852B1F" w:rsidRDefault="003659AC">
            <w:pPr>
              <w:tabs>
                <w:tab w:val="left" w:pos="426"/>
                <w:tab w:val="left" w:pos="709"/>
              </w:tabs>
              <w:overflowPunct w:val="0"/>
              <w:autoSpaceDE w:val="0"/>
              <w:autoSpaceDN w:val="0"/>
              <w:adjustRightInd w:val="0"/>
              <w:spacing w:line="276" w:lineRule="auto"/>
              <w:jc w:val="center"/>
              <w:rPr>
                <w:rFonts w:ascii="Arial" w:eastAsia="Times New Roman" w:hAnsi="Arial" w:cs="Arial"/>
                <w:lang w:val="de-DE"/>
              </w:rPr>
            </w:pPr>
            <w:r w:rsidRPr="00852B1F">
              <w:rPr>
                <w:rFonts w:ascii="Arial" w:hAnsi="Arial" w:cs="Arial"/>
              </w:rPr>
              <w:t>3%</w:t>
            </w:r>
          </w:p>
        </w:tc>
        <w:tc>
          <w:tcPr>
            <w:tcW w:w="1614" w:type="dxa"/>
            <w:tcBorders>
              <w:top w:val="single" w:sz="4" w:space="0" w:color="000000" w:themeColor="text1"/>
              <w:left w:val="nil"/>
              <w:bottom w:val="nil"/>
              <w:right w:val="nil"/>
            </w:tcBorders>
            <w:shd w:val="clear" w:color="auto" w:fill="FFFFFF" w:themeFill="background1"/>
            <w:noWrap/>
            <w:vAlign w:val="center"/>
            <w:hideMark/>
          </w:tcPr>
          <w:p w14:paraId="38163031" w14:textId="77777777" w:rsidR="003659AC" w:rsidRPr="00852B1F" w:rsidRDefault="003659AC">
            <w:pPr>
              <w:tabs>
                <w:tab w:val="left" w:pos="426"/>
                <w:tab w:val="left" w:pos="709"/>
              </w:tabs>
              <w:overflowPunct w:val="0"/>
              <w:autoSpaceDE w:val="0"/>
              <w:autoSpaceDN w:val="0"/>
              <w:adjustRightInd w:val="0"/>
              <w:spacing w:line="276" w:lineRule="auto"/>
              <w:jc w:val="center"/>
              <w:rPr>
                <w:rFonts w:ascii="Arial" w:eastAsia="Times New Roman" w:hAnsi="Arial" w:cs="Arial"/>
                <w:lang w:val="de-DE"/>
              </w:rPr>
            </w:pPr>
            <w:r w:rsidRPr="00852B1F">
              <w:rPr>
                <w:rFonts w:ascii="Arial" w:hAnsi="Arial" w:cs="Arial"/>
              </w:rPr>
              <w:t>10%</w:t>
            </w:r>
          </w:p>
        </w:tc>
        <w:tc>
          <w:tcPr>
            <w:tcW w:w="1381" w:type="dxa"/>
            <w:tcBorders>
              <w:top w:val="single" w:sz="4" w:space="0" w:color="000000" w:themeColor="text1"/>
              <w:left w:val="nil"/>
              <w:bottom w:val="nil"/>
              <w:right w:val="nil"/>
            </w:tcBorders>
            <w:shd w:val="clear" w:color="auto" w:fill="FFFFFF" w:themeFill="background1"/>
            <w:noWrap/>
            <w:vAlign w:val="center"/>
            <w:hideMark/>
          </w:tcPr>
          <w:p w14:paraId="4643A3D0" w14:textId="77777777" w:rsidR="003659AC" w:rsidRPr="00852B1F" w:rsidRDefault="003659AC">
            <w:pPr>
              <w:tabs>
                <w:tab w:val="left" w:pos="426"/>
                <w:tab w:val="left" w:pos="709"/>
              </w:tabs>
              <w:overflowPunct w:val="0"/>
              <w:autoSpaceDE w:val="0"/>
              <w:autoSpaceDN w:val="0"/>
              <w:adjustRightInd w:val="0"/>
              <w:spacing w:line="276" w:lineRule="auto"/>
              <w:jc w:val="center"/>
              <w:rPr>
                <w:rFonts w:ascii="Arial" w:eastAsia="Times New Roman" w:hAnsi="Arial" w:cs="Arial"/>
                <w:lang w:val="de-DE"/>
              </w:rPr>
            </w:pPr>
            <w:r w:rsidRPr="00852B1F">
              <w:rPr>
                <w:rFonts w:ascii="Arial" w:hAnsi="Arial" w:cs="Arial"/>
              </w:rPr>
              <w:t>1%</w:t>
            </w:r>
          </w:p>
        </w:tc>
        <w:tc>
          <w:tcPr>
            <w:tcW w:w="1570" w:type="dxa"/>
            <w:tcBorders>
              <w:top w:val="single" w:sz="4" w:space="0" w:color="000000" w:themeColor="text1"/>
              <w:left w:val="nil"/>
              <w:bottom w:val="nil"/>
              <w:right w:val="nil"/>
            </w:tcBorders>
            <w:shd w:val="clear" w:color="auto" w:fill="FFFFFF" w:themeFill="background1"/>
            <w:noWrap/>
            <w:vAlign w:val="center"/>
            <w:hideMark/>
          </w:tcPr>
          <w:p w14:paraId="2BF03E80" w14:textId="77777777" w:rsidR="003659AC" w:rsidRPr="00852B1F" w:rsidRDefault="003659AC">
            <w:pPr>
              <w:tabs>
                <w:tab w:val="left" w:pos="426"/>
                <w:tab w:val="left" w:pos="709"/>
              </w:tabs>
              <w:overflowPunct w:val="0"/>
              <w:autoSpaceDE w:val="0"/>
              <w:autoSpaceDN w:val="0"/>
              <w:adjustRightInd w:val="0"/>
              <w:spacing w:line="276" w:lineRule="auto"/>
              <w:jc w:val="center"/>
              <w:rPr>
                <w:rFonts w:ascii="Arial" w:eastAsia="Times New Roman" w:hAnsi="Arial" w:cs="Arial"/>
                <w:lang w:val="de-DE"/>
              </w:rPr>
            </w:pPr>
            <w:r w:rsidRPr="00852B1F">
              <w:rPr>
                <w:rFonts w:ascii="Arial" w:hAnsi="Arial" w:cs="Arial"/>
              </w:rPr>
              <w:t>5%</w:t>
            </w:r>
          </w:p>
        </w:tc>
      </w:tr>
      <w:tr w:rsidR="00852B1F" w:rsidRPr="00852B1F" w14:paraId="334A7220" w14:textId="77777777" w:rsidTr="00852B1F">
        <w:trPr>
          <w:trHeight w:hRule="exact" w:val="556"/>
        </w:trPr>
        <w:tc>
          <w:tcPr>
            <w:tcW w:w="3581" w:type="dxa"/>
            <w:shd w:val="clear" w:color="auto" w:fill="F2F2F2" w:themeFill="background1" w:themeFillShade="F2"/>
            <w:noWrap/>
            <w:vAlign w:val="center"/>
            <w:hideMark/>
          </w:tcPr>
          <w:p w14:paraId="559899AF" w14:textId="77777777" w:rsidR="003659AC" w:rsidRPr="00852B1F" w:rsidRDefault="003659AC">
            <w:pPr>
              <w:tabs>
                <w:tab w:val="left" w:pos="709"/>
              </w:tabs>
              <w:autoSpaceDN w:val="0"/>
              <w:spacing w:line="240" w:lineRule="auto"/>
              <w:rPr>
                <w:rFonts w:ascii="Arial" w:eastAsia="Times New Roman" w:hAnsi="Arial" w:cs="Arial"/>
                <w:lang w:eastAsia="de-AT"/>
              </w:rPr>
            </w:pPr>
            <w:r w:rsidRPr="00852B1F">
              <w:rPr>
                <w:rFonts w:ascii="Arial" w:hAnsi="Arial" w:cs="Arial"/>
                <w:lang w:eastAsia="de-AT"/>
              </w:rPr>
              <w:t>Burgenland (100)</w:t>
            </w:r>
          </w:p>
        </w:tc>
        <w:tc>
          <w:tcPr>
            <w:tcW w:w="1614" w:type="dxa"/>
            <w:shd w:val="clear" w:color="auto" w:fill="F2F2F2" w:themeFill="background1" w:themeFillShade="F2"/>
            <w:vAlign w:val="center"/>
            <w:hideMark/>
          </w:tcPr>
          <w:p w14:paraId="5A4CA74A" w14:textId="77777777" w:rsidR="003659AC" w:rsidRPr="00852B1F" w:rsidRDefault="003659AC">
            <w:pPr>
              <w:tabs>
                <w:tab w:val="left" w:pos="426"/>
                <w:tab w:val="left" w:pos="709"/>
              </w:tabs>
              <w:overflowPunct w:val="0"/>
              <w:autoSpaceDE w:val="0"/>
              <w:autoSpaceDN w:val="0"/>
              <w:adjustRightInd w:val="0"/>
              <w:spacing w:line="276" w:lineRule="auto"/>
              <w:jc w:val="center"/>
              <w:rPr>
                <w:rFonts w:ascii="Arial" w:eastAsia="Times New Roman" w:hAnsi="Arial" w:cs="Arial"/>
                <w:b/>
                <w:bCs/>
                <w:lang w:eastAsia="de-AT"/>
              </w:rPr>
            </w:pPr>
            <w:r w:rsidRPr="00852B1F">
              <w:rPr>
                <w:rFonts w:ascii="Arial" w:hAnsi="Arial" w:cs="Arial"/>
                <w:b/>
                <w:bCs/>
                <w:lang w:eastAsia="de-AT"/>
              </w:rPr>
              <w:t>27%</w:t>
            </w:r>
          </w:p>
        </w:tc>
        <w:tc>
          <w:tcPr>
            <w:tcW w:w="1612" w:type="dxa"/>
            <w:shd w:val="clear" w:color="auto" w:fill="F2F2F2" w:themeFill="background1" w:themeFillShade="F2"/>
            <w:noWrap/>
            <w:vAlign w:val="center"/>
            <w:hideMark/>
          </w:tcPr>
          <w:p w14:paraId="49BA9E1F" w14:textId="77777777" w:rsidR="003659AC" w:rsidRPr="00852B1F" w:rsidRDefault="003659AC">
            <w:pPr>
              <w:tabs>
                <w:tab w:val="left" w:pos="426"/>
                <w:tab w:val="left" w:pos="709"/>
              </w:tabs>
              <w:overflowPunct w:val="0"/>
              <w:autoSpaceDE w:val="0"/>
              <w:autoSpaceDN w:val="0"/>
              <w:adjustRightInd w:val="0"/>
              <w:spacing w:line="276" w:lineRule="auto"/>
              <w:jc w:val="center"/>
              <w:rPr>
                <w:rFonts w:ascii="Arial" w:eastAsia="Times New Roman" w:hAnsi="Arial" w:cs="Arial"/>
                <w:lang w:eastAsia="de-AT"/>
              </w:rPr>
            </w:pPr>
            <w:r w:rsidRPr="00852B1F">
              <w:rPr>
                <w:rFonts w:ascii="Arial" w:hAnsi="Arial" w:cs="Arial"/>
                <w:lang w:eastAsia="de-AT"/>
              </w:rPr>
              <w:t>6%</w:t>
            </w:r>
          </w:p>
        </w:tc>
        <w:tc>
          <w:tcPr>
            <w:tcW w:w="1612" w:type="dxa"/>
            <w:shd w:val="clear" w:color="auto" w:fill="F2F2F2" w:themeFill="background1" w:themeFillShade="F2"/>
            <w:noWrap/>
            <w:vAlign w:val="center"/>
            <w:hideMark/>
          </w:tcPr>
          <w:p w14:paraId="1750D5BE" w14:textId="77777777" w:rsidR="003659AC" w:rsidRPr="00852B1F" w:rsidRDefault="003659AC">
            <w:pPr>
              <w:tabs>
                <w:tab w:val="left" w:pos="426"/>
                <w:tab w:val="left" w:pos="709"/>
              </w:tabs>
              <w:overflowPunct w:val="0"/>
              <w:autoSpaceDE w:val="0"/>
              <w:autoSpaceDN w:val="0"/>
              <w:adjustRightInd w:val="0"/>
              <w:spacing w:line="276" w:lineRule="auto"/>
              <w:jc w:val="center"/>
              <w:rPr>
                <w:rFonts w:ascii="Arial" w:eastAsia="Times New Roman" w:hAnsi="Arial" w:cs="Arial"/>
                <w:lang w:eastAsia="de-AT"/>
              </w:rPr>
            </w:pPr>
            <w:r w:rsidRPr="00852B1F">
              <w:rPr>
                <w:rFonts w:ascii="Arial" w:hAnsi="Arial" w:cs="Arial"/>
                <w:lang w:eastAsia="de-AT"/>
              </w:rPr>
              <w:t>3%</w:t>
            </w:r>
          </w:p>
        </w:tc>
        <w:tc>
          <w:tcPr>
            <w:tcW w:w="1612" w:type="dxa"/>
            <w:shd w:val="clear" w:color="auto" w:fill="F2F2F2" w:themeFill="background1" w:themeFillShade="F2"/>
            <w:noWrap/>
            <w:vAlign w:val="center"/>
            <w:hideMark/>
          </w:tcPr>
          <w:p w14:paraId="1324A2A2" w14:textId="77777777" w:rsidR="003659AC" w:rsidRPr="00852B1F" w:rsidRDefault="003659AC">
            <w:pPr>
              <w:tabs>
                <w:tab w:val="left" w:pos="426"/>
                <w:tab w:val="left" w:pos="709"/>
              </w:tabs>
              <w:overflowPunct w:val="0"/>
              <w:autoSpaceDE w:val="0"/>
              <w:autoSpaceDN w:val="0"/>
              <w:adjustRightInd w:val="0"/>
              <w:spacing w:line="276" w:lineRule="auto"/>
              <w:jc w:val="center"/>
              <w:rPr>
                <w:rFonts w:ascii="Arial" w:eastAsia="Times New Roman" w:hAnsi="Arial" w:cs="Arial"/>
                <w:lang w:eastAsia="de-AT"/>
              </w:rPr>
            </w:pPr>
            <w:r w:rsidRPr="00852B1F">
              <w:rPr>
                <w:rFonts w:ascii="Arial" w:hAnsi="Arial" w:cs="Arial"/>
                <w:lang w:eastAsia="de-AT"/>
              </w:rPr>
              <w:t>3%</w:t>
            </w:r>
          </w:p>
        </w:tc>
        <w:tc>
          <w:tcPr>
            <w:tcW w:w="1614" w:type="dxa"/>
            <w:shd w:val="clear" w:color="auto" w:fill="F2F2F2" w:themeFill="background1" w:themeFillShade="F2"/>
            <w:noWrap/>
            <w:vAlign w:val="center"/>
            <w:hideMark/>
          </w:tcPr>
          <w:p w14:paraId="7F7FD4B3" w14:textId="77777777" w:rsidR="003659AC" w:rsidRPr="00852B1F" w:rsidRDefault="003659AC">
            <w:pPr>
              <w:tabs>
                <w:tab w:val="left" w:pos="426"/>
                <w:tab w:val="left" w:pos="709"/>
              </w:tabs>
              <w:overflowPunct w:val="0"/>
              <w:autoSpaceDE w:val="0"/>
              <w:autoSpaceDN w:val="0"/>
              <w:adjustRightInd w:val="0"/>
              <w:spacing w:line="276" w:lineRule="auto"/>
              <w:jc w:val="center"/>
              <w:rPr>
                <w:rFonts w:ascii="Arial" w:eastAsia="Times New Roman" w:hAnsi="Arial" w:cs="Arial"/>
                <w:lang w:eastAsia="de-AT"/>
              </w:rPr>
            </w:pPr>
            <w:r w:rsidRPr="00852B1F">
              <w:rPr>
                <w:rFonts w:ascii="Arial" w:hAnsi="Arial" w:cs="Arial"/>
                <w:lang w:eastAsia="de-AT"/>
              </w:rPr>
              <w:t>3%</w:t>
            </w:r>
          </w:p>
        </w:tc>
        <w:tc>
          <w:tcPr>
            <w:tcW w:w="1381" w:type="dxa"/>
            <w:shd w:val="clear" w:color="auto" w:fill="F2F2F2" w:themeFill="background1" w:themeFillShade="F2"/>
            <w:noWrap/>
            <w:vAlign w:val="center"/>
            <w:hideMark/>
          </w:tcPr>
          <w:p w14:paraId="660FCB8A" w14:textId="77777777" w:rsidR="003659AC" w:rsidRPr="00852B1F" w:rsidRDefault="003659AC">
            <w:pPr>
              <w:tabs>
                <w:tab w:val="left" w:pos="426"/>
                <w:tab w:val="left" w:pos="709"/>
              </w:tabs>
              <w:overflowPunct w:val="0"/>
              <w:autoSpaceDE w:val="0"/>
              <w:autoSpaceDN w:val="0"/>
              <w:adjustRightInd w:val="0"/>
              <w:spacing w:line="276" w:lineRule="auto"/>
              <w:jc w:val="center"/>
              <w:rPr>
                <w:rFonts w:ascii="Arial" w:eastAsia="Times New Roman" w:hAnsi="Arial" w:cs="Arial"/>
                <w:lang w:eastAsia="de-AT"/>
              </w:rPr>
            </w:pPr>
            <w:r w:rsidRPr="00852B1F">
              <w:rPr>
                <w:rFonts w:ascii="Arial" w:hAnsi="Arial" w:cs="Arial"/>
                <w:lang w:eastAsia="de-AT"/>
              </w:rPr>
              <w:t>3%</w:t>
            </w:r>
          </w:p>
        </w:tc>
        <w:tc>
          <w:tcPr>
            <w:tcW w:w="1570" w:type="dxa"/>
            <w:shd w:val="clear" w:color="auto" w:fill="F2F2F2" w:themeFill="background1" w:themeFillShade="F2"/>
            <w:noWrap/>
            <w:vAlign w:val="center"/>
            <w:hideMark/>
          </w:tcPr>
          <w:p w14:paraId="0700585C" w14:textId="77777777" w:rsidR="003659AC" w:rsidRPr="00852B1F" w:rsidRDefault="003659AC">
            <w:pPr>
              <w:tabs>
                <w:tab w:val="left" w:pos="426"/>
                <w:tab w:val="left" w:pos="709"/>
              </w:tabs>
              <w:overflowPunct w:val="0"/>
              <w:autoSpaceDE w:val="0"/>
              <w:autoSpaceDN w:val="0"/>
              <w:adjustRightInd w:val="0"/>
              <w:spacing w:line="276" w:lineRule="auto"/>
              <w:jc w:val="center"/>
              <w:rPr>
                <w:rFonts w:ascii="Arial" w:eastAsia="Times New Roman" w:hAnsi="Arial" w:cs="Arial"/>
                <w:lang w:eastAsia="de-AT"/>
              </w:rPr>
            </w:pPr>
            <w:r w:rsidRPr="00852B1F">
              <w:rPr>
                <w:rFonts w:ascii="Arial" w:hAnsi="Arial" w:cs="Arial"/>
                <w:lang w:eastAsia="de-AT"/>
              </w:rPr>
              <w:t>9%</w:t>
            </w:r>
          </w:p>
        </w:tc>
      </w:tr>
      <w:tr w:rsidR="003659AC" w:rsidRPr="00852B1F" w14:paraId="287F6B8B" w14:textId="77777777" w:rsidTr="00852B1F">
        <w:trPr>
          <w:trHeight w:hRule="exact" w:val="556"/>
        </w:trPr>
        <w:tc>
          <w:tcPr>
            <w:tcW w:w="3581" w:type="dxa"/>
            <w:shd w:val="clear" w:color="auto" w:fill="auto"/>
            <w:noWrap/>
            <w:vAlign w:val="center"/>
            <w:hideMark/>
          </w:tcPr>
          <w:p w14:paraId="4A091203" w14:textId="77777777" w:rsidR="003659AC" w:rsidRPr="00852B1F" w:rsidRDefault="003659AC">
            <w:pPr>
              <w:tabs>
                <w:tab w:val="left" w:pos="709"/>
              </w:tabs>
              <w:autoSpaceDN w:val="0"/>
              <w:spacing w:line="240" w:lineRule="auto"/>
              <w:rPr>
                <w:rFonts w:ascii="Arial" w:eastAsia="Times New Roman" w:hAnsi="Arial" w:cs="Arial"/>
                <w:lang w:eastAsia="de-AT"/>
              </w:rPr>
            </w:pPr>
            <w:r w:rsidRPr="00852B1F">
              <w:rPr>
                <w:rFonts w:ascii="Arial" w:hAnsi="Arial" w:cs="Arial"/>
                <w:lang w:eastAsia="de-AT"/>
              </w:rPr>
              <w:t>Salzburg (800)</w:t>
            </w:r>
          </w:p>
        </w:tc>
        <w:tc>
          <w:tcPr>
            <w:tcW w:w="1614" w:type="dxa"/>
            <w:shd w:val="clear" w:color="auto" w:fill="auto"/>
            <w:vAlign w:val="center"/>
            <w:hideMark/>
          </w:tcPr>
          <w:p w14:paraId="5904D581" w14:textId="77777777" w:rsidR="003659AC" w:rsidRPr="00852B1F" w:rsidRDefault="003659AC">
            <w:pPr>
              <w:tabs>
                <w:tab w:val="left" w:pos="426"/>
                <w:tab w:val="left" w:pos="709"/>
              </w:tabs>
              <w:overflowPunct w:val="0"/>
              <w:autoSpaceDE w:val="0"/>
              <w:autoSpaceDN w:val="0"/>
              <w:adjustRightInd w:val="0"/>
              <w:spacing w:line="276" w:lineRule="auto"/>
              <w:jc w:val="center"/>
              <w:rPr>
                <w:rFonts w:ascii="Arial" w:eastAsia="Times New Roman" w:hAnsi="Arial" w:cs="Arial"/>
                <w:b/>
                <w:bCs/>
                <w:lang w:eastAsia="de-AT"/>
              </w:rPr>
            </w:pPr>
            <w:r w:rsidRPr="00852B1F">
              <w:rPr>
                <w:rFonts w:ascii="Arial" w:hAnsi="Arial" w:cs="Arial"/>
                <w:b/>
                <w:bCs/>
                <w:lang w:eastAsia="de-AT"/>
              </w:rPr>
              <w:t>27%</w:t>
            </w:r>
          </w:p>
        </w:tc>
        <w:tc>
          <w:tcPr>
            <w:tcW w:w="1612" w:type="dxa"/>
            <w:shd w:val="clear" w:color="auto" w:fill="auto"/>
            <w:noWrap/>
            <w:vAlign w:val="center"/>
            <w:hideMark/>
          </w:tcPr>
          <w:p w14:paraId="297F9C97" w14:textId="77777777" w:rsidR="003659AC" w:rsidRPr="00852B1F" w:rsidRDefault="003659AC">
            <w:pPr>
              <w:tabs>
                <w:tab w:val="left" w:pos="426"/>
                <w:tab w:val="left" w:pos="709"/>
              </w:tabs>
              <w:overflowPunct w:val="0"/>
              <w:autoSpaceDE w:val="0"/>
              <w:autoSpaceDN w:val="0"/>
              <w:adjustRightInd w:val="0"/>
              <w:spacing w:line="276" w:lineRule="auto"/>
              <w:jc w:val="center"/>
              <w:rPr>
                <w:rFonts w:ascii="Arial" w:eastAsia="Times New Roman" w:hAnsi="Arial" w:cs="Arial"/>
                <w:lang w:eastAsia="de-AT"/>
              </w:rPr>
            </w:pPr>
            <w:r w:rsidRPr="00852B1F">
              <w:rPr>
                <w:rFonts w:ascii="Arial" w:hAnsi="Arial" w:cs="Arial"/>
                <w:lang w:eastAsia="de-AT"/>
              </w:rPr>
              <w:t>1%</w:t>
            </w:r>
          </w:p>
        </w:tc>
        <w:tc>
          <w:tcPr>
            <w:tcW w:w="1612" w:type="dxa"/>
            <w:shd w:val="clear" w:color="auto" w:fill="auto"/>
            <w:noWrap/>
            <w:vAlign w:val="center"/>
            <w:hideMark/>
          </w:tcPr>
          <w:p w14:paraId="1FA727D2" w14:textId="77777777" w:rsidR="003659AC" w:rsidRPr="00852B1F" w:rsidRDefault="003659AC">
            <w:pPr>
              <w:tabs>
                <w:tab w:val="left" w:pos="426"/>
                <w:tab w:val="left" w:pos="709"/>
              </w:tabs>
              <w:overflowPunct w:val="0"/>
              <w:autoSpaceDE w:val="0"/>
              <w:autoSpaceDN w:val="0"/>
              <w:adjustRightInd w:val="0"/>
              <w:spacing w:line="276" w:lineRule="auto"/>
              <w:jc w:val="center"/>
              <w:rPr>
                <w:rFonts w:ascii="Arial" w:eastAsia="Times New Roman" w:hAnsi="Arial" w:cs="Arial"/>
                <w:lang w:eastAsia="de-AT"/>
              </w:rPr>
            </w:pPr>
            <w:r w:rsidRPr="00852B1F">
              <w:rPr>
                <w:rFonts w:ascii="Arial" w:hAnsi="Arial" w:cs="Arial"/>
                <w:lang w:eastAsia="de-AT"/>
              </w:rPr>
              <w:t>4%</w:t>
            </w:r>
          </w:p>
        </w:tc>
        <w:tc>
          <w:tcPr>
            <w:tcW w:w="1612" w:type="dxa"/>
            <w:shd w:val="clear" w:color="auto" w:fill="auto"/>
            <w:noWrap/>
            <w:vAlign w:val="center"/>
            <w:hideMark/>
          </w:tcPr>
          <w:p w14:paraId="6AAF6A65" w14:textId="77777777" w:rsidR="003659AC" w:rsidRPr="00852B1F" w:rsidRDefault="003659AC">
            <w:pPr>
              <w:tabs>
                <w:tab w:val="left" w:pos="426"/>
                <w:tab w:val="left" w:pos="709"/>
              </w:tabs>
              <w:overflowPunct w:val="0"/>
              <w:autoSpaceDE w:val="0"/>
              <w:autoSpaceDN w:val="0"/>
              <w:adjustRightInd w:val="0"/>
              <w:spacing w:line="276" w:lineRule="auto"/>
              <w:jc w:val="center"/>
              <w:rPr>
                <w:rFonts w:ascii="Arial" w:eastAsia="Times New Roman" w:hAnsi="Arial" w:cs="Arial"/>
                <w:lang w:eastAsia="de-AT"/>
              </w:rPr>
            </w:pPr>
            <w:r w:rsidRPr="00852B1F">
              <w:rPr>
                <w:rFonts w:ascii="Arial" w:hAnsi="Arial" w:cs="Arial"/>
                <w:lang w:eastAsia="de-AT"/>
              </w:rPr>
              <w:t>4%</w:t>
            </w:r>
          </w:p>
        </w:tc>
        <w:tc>
          <w:tcPr>
            <w:tcW w:w="1614" w:type="dxa"/>
            <w:shd w:val="clear" w:color="auto" w:fill="auto"/>
            <w:noWrap/>
            <w:vAlign w:val="center"/>
            <w:hideMark/>
          </w:tcPr>
          <w:p w14:paraId="66918CFD" w14:textId="77777777" w:rsidR="003659AC" w:rsidRPr="00852B1F" w:rsidRDefault="003659AC">
            <w:pPr>
              <w:tabs>
                <w:tab w:val="left" w:pos="426"/>
                <w:tab w:val="left" w:pos="709"/>
              </w:tabs>
              <w:overflowPunct w:val="0"/>
              <w:autoSpaceDE w:val="0"/>
              <w:autoSpaceDN w:val="0"/>
              <w:adjustRightInd w:val="0"/>
              <w:spacing w:line="276" w:lineRule="auto"/>
              <w:jc w:val="center"/>
              <w:rPr>
                <w:rFonts w:ascii="Arial" w:eastAsia="Times New Roman" w:hAnsi="Arial" w:cs="Arial"/>
                <w:lang w:eastAsia="de-AT"/>
              </w:rPr>
            </w:pPr>
            <w:r w:rsidRPr="00852B1F">
              <w:rPr>
                <w:rFonts w:ascii="Arial" w:hAnsi="Arial" w:cs="Arial"/>
                <w:lang w:eastAsia="de-AT"/>
              </w:rPr>
              <w:t>14%</w:t>
            </w:r>
          </w:p>
        </w:tc>
        <w:tc>
          <w:tcPr>
            <w:tcW w:w="1381" w:type="dxa"/>
            <w:shd w:val="clear" w:color="auto" w:fill="auto"/>
            <w:noWrap/>
            <w:vAlign w:val="center"/>
            <w:hideMark/>
          </w:tcPr>
          <w:p w14:paraId="78DAC01D" w14:textId="77777777" w:rsidR="003659AC" w:rsidRPr="00852B1F" w:rsidRDefault="003659AC">
            <w:pPr>
              <w:tabs>
                <w:tab w:val="left" w:pos="426"/>
                <w:tab w:val="left" w:pos="709"/>
              </w:tabs>
              <w:overflowPunct w:val="0"/>
              <w:autoSpaceDE w:val="0"/>
              <w:autoSpaceDN w:val="0"/>
              <w:adjustRightInd w:val="0"/>
              <w:spacing w:line="276" w:lineRule="auto"/>
              <w:jc w:val="center"/>
              <w:rPr>
                <w:rFonts w:ascii="Arial" w:eastAsia="Times New Roman" w:hAnsi="Arial" w:cs="Arial"/>
                <w:lang w:eastAsia="de-AT"/>
              </w:rPr>
            </w:pPr>
            <w:r w:rsidRPr="00852B1F">
              <w:rPr>
                <w:rFonts w:ascii="Arial" w:hAnsi="Arial" w:cs="Arial"/>
                <w:lang w:eastAsia="de-AT"/>
              </w:rPr>
              <w:t>4%</w:t>
            </w:r>
          </w:p>
        </w:tc>
        <w:tc>
          <w:tcPr>
            <w:tcW w:w="1570" w:type="dxa"/>
            <w:shd w:val="clear" w:color="auto" w:fill="auto"/>
            <w:noWrap/>
            <w:vAlign w:val="center"/>
            <w:hideMark/>
          </w:tcPr>
          <w:p w14:paraId="7B09228D" w14:textId="77777777" w:rsidR="003659AC" w:rsidRPr="00852B1F" w:rsidRDefault="003659AC">
            <w:pPr>
              <w:tabs>
                <w:tab w:val="left" w:pos="426"/>
                <w:tab w:val="left" w:pos="709"/>
              </w:tabs>
              <w:overflowPunct w:val="0"/>
              <w:autoSpaceDE w:val="0"/>
              <w:autoSpaceDN w:val="0"/>
              <w:adjustRightInd w:val="0"/>
              <w:spacing w:line="276" w:lineRule="auto"/>
              <w:jc w:val="center"/>
              <w:rPr>
                <w:rFonts w:ascii="Arial" w:eastAsia="Times New Roman" w:hAnsi="Arial" w:cs="Arial"/>
                <w:lang w:eastAsia="de-AT"/>
              </w:rPr>
            </w:pPr>
            <w:r w:rsidRPr="00852B1F">
              <w:rPr>
                <w:rFonts w:ascii="Arial" w:hAnsi="Arial" w:cs="Arial"/>
                <w:lang w:eastAsia="de-AT"/>
              </w:rPr>
              <w:t>1%</w:t>
            </w:r>
          </w:p>
        </w:tc>
      </w:tr>
      <w:tr w:rsidR="00852B1F" w:rsidRPr="00852B1F" w14:paraId="306CE1E9" w14:textId="77777777" w:rsidTr="00852B1F">
        <w:trPr>
          <w:trHeight w:hRule="exact" w:val="556"/>
        </w:trPr>
        <w:tc>
          <w:tcPr>
            <w:tcW w:w="3581" w:type="dxa"/>
            <w:shd w:val="clear" w:color="auto" w:fill="F2F2F2" w:themeFill="background1" w:themeFillShade="F2"/>
            <w:noWrap/>
            <w:vAlign w:val="center"/>
            <w:hideMark/>
          </w:tcPr>
          <w:p w14:paraId="3B4D71C3" w14:textId="77777777" w:rsidR="003659AC" w:rsidRPr="00852B1F" w:rsidRDefault="003659AC">
            <w:pPr>
              <w:tabs>
                <w:tab w:val="left" w:pos="709"/>
              </w:tabs>
              <w:autoSpaceDN w:val="0"/>
              <w:spacing w:line="240" w:lineRule="auto"/>
              <w:rPr>
                <w:rFonts w:ascii="Arial" w:eastAsia="Times New Roman" w:hAnsi="Arial" w:cs="Arial"/>
                <w:lang w:eastAsia="de-AT"/>
              </w:rPr>
            </w:pPr>
            <w:r w:rsidRPr="00852B1F">
              <w:rPr>
                <w:rFonts w:ascii="Arial" w:hAnsi="Arial" w:cs="Arial"/>
                <w:lang w:eastAsia="de-AT"/>
              </w:rPr>
              <w:t>Wien (6.000)</w:t>
            </w:r>
          </w:p>
        </w:tc>
        <w:tc>
          <w:tcPr>
            <w:tcW w:w="1614" w:type="dxa"/>
            <w:shd w:val="clear" w:color="auto" w:fill="F2F2F2" w:themeFill="background1" w:themeFillShade="F2"/>
            <w:vAlign w:val="center"/>
            <w:hideMark/>
          </w:tcPr>
          <w:p w14:paraId="25121D82" w14:textId="77777777" w:rsidR="003659AC" w:rsidRPr="00852B1F" w:rsidRDefault="003659AC">
            <w:pPr>
              <w:tabs>
                <w:tab w:val="left" w:pos="426"/>
                <w:tab w:val="left" w:pos="709"/>
              </w:tabs>
              <w:overflowPunct w:val="0"/>
              <w:autoSpaceDE w:val="0"/>
              <w:autoSpaceDN w:val="0"/>
              <w:adjustRightInd w:val="0"/>
              <w:spacing w:line="276" w:lineRule="auto"/>
              <w:jc w:val="center"/>
              <w:rPr>
                <w:rFonts w:ascii="Arial" w:eastAsia="Times New Roman" w:hAnsi="Arial" w:cs="Arial"/>
                <w:lang w:val="de-DE"/>
              </w:rPr>
            </w:pPr>
            <w:r w:rsidRPr="00852B1F">
              <w:rPr>
                <w:rFonts w:ascii="Arial" w:hAnsi="Arial" w:cs="Arial"/>
                <w:b/>
                <w:bCs/>
              </w:rPr>
              <w:t>27%</w:t>
            </w:r>
          </w:p>
        </w:tc>
        <w:tc>
          <w:tcPr>
            <w:tcW w:w="1612" w:type="dxa"/>
            <w:shd w:val="clear" w:color="auto" w:fill="F2F2F2" w:themeFill="background1" w:themeFillShade="F2"/>
            <w:noWrap/>
            <w:vAlign w:val="center"/>
            <w:hideMark/>
          </w:tcPr>
          <w:p w14:paraId="4302CBA2" w14:textId="77777777" w:rsidR="003659AC" w:rsidRPr="00852B1F" w:rsidRDefault="003659AC">
            <w:pPr>
              <w:tabs>
                <w:tab w:val="left" w:pos="426"/>
                <w:tab w:val="left" w:pos="709"/>
              </w:tabs>
              <w:overflowPunct w:val="0"/>
              <w:autoSpaceDE w:val="0"/>
              <w:autoSpaceDN w:val="0"/>
              <w:adjustRightInd w:val="0"/>
              <w:spacing w:line="276" w:lineRule="auto"/>
              <w:jc w:val="center"/>
              <w:rPr>
                <w:rFonts w:ascii="Arial" w:eastAsia="Times New Roman" w:hAnsi="Arial" w:cs="Arial"/>
                <w:lang w:val="de-DE"/>
              </w:rPr>
            </w:pPr>
            <w:r w:rsidRPr="00852B1F">
              <w:rPr>
                <w:rFonts w:ascii="Arial" w:hAnsi="Arial" w:cs="Arial"/>
              </w:rPr>
              <w:t>7%</w:t>
            </w:r>
          </w:p>
        </w:tc>
        <w:tc>
          <w:tcPr>
            <w:tcW w:w="1612" w:type="dxa"/>
            <w:shd w:val="clear" w:color="auto" w:fill="F2F2F2" w:themeFill="background1" w:themeFillShade="F2"/>
            <w:noWrap/>
            <w:vAlign w:val="center"/>
            <w:hideMark/>
          </w:tcPr>
          <w:p w14:paraId="5D4AE3A9" w14:textId="77777777" w:rsidR="003659AC" w:rsidRPr="00852B1F" w:rsidRDefault="003659AC">
            <w:pPr>
              <w:tabs>
                <w:tab w:val="left" w:pos="426"/>
                <w:tab w:val="left" w:pos="709"/>
              </w:tabs>
              <w:overflowPunct w:val="0"/>
              <w:autoSpaceDE w:val="0"/>
              <w:autoSpaceDN w:val="0"/>
              <w:adjustRightInd w:val="0"/>
              <w:spacing w:line="276" w:lineRule="auto"/>
              <w:jc w:val="center"/>
              <w:rPr>
                <w:rFonts w:ascii="Arial" w:eastAsia="Times New Roman" w:hAnsi="Arial" w:cs="Arial"/>
                <w:lang w:val="de-DE"/>
              </w:rPr>
            </w:pPr>
            <w:r w:rsidRPr="00852B1F">
              <w:rPr>
                <w:rFonts w:ascii="Arial" w:hAnsi="Arial" w:cs="Arial"/>
              </w:rPr>
              <w:t>4%</w:t>
            </w:r>
          </w:p>
        </w:tc>
        <w:tc>
          <w:tcPr>
            <w:tcW w:w="1612" w:type="dxa"/>
            <w:shd w:val="clear" w:color="auto" w:fill="F2F2F2" w:themeFill="background1" w:themeFillShade="F2"/>
            <w:noWrap/>
            <w:vAlign w:val="center"/>
            <w:hideMark/>
          </w:tcPr>
          <w:p w14:paraId="1D0CB41F" w14:textId="77777777" w:rsidR="003659AC" w:rsidRPr="00852B1F" w:rsidRDefault="003659AC">
            <w:pPr>
              <w:tabs>
                <w:tab w:val="left" w:pos="426"/>
                <w:tab w:val="left" w:pos="709"/>
              </w:tabs>
              <w:overflowPunct w:val="0"/>
              <w:autoSpaceDE w:val="0"/>
              <w:autoSpaceDN w:val="0"/>
              <w:adjustRightInd w:val="0"/>
              <w:spacing w:line="276" w:lineRule="auto"/>
              <w:jc w:val="center"/>
              <w:rPr>
                <w:rFonts w:ascii="Arial" w:eastAsia="Times New Roman" w:hAnsi="Arial" w:cs="Arial"/>
                <w:lang w:val="de-DE"/>
              </w:rPr>
            </w:pPr>
            <w:r w:rsidRPr="00852B1F">
              <w:rPr>
                <w:rFonts w:ascii="Arial" w:hAnsi="Arial" w:cs="Arial"/>
              </w:rPr>
              <w:t>4%</w:t>
            </w:r>
          </w:p>
        </w:tc>
        <w:tc>
          <w:tcPr>
            <w:tcW w:w="1614" w:type="dxa"/>
            <w:shd w:val="clear" w:color="auto" w:fill="F2F2F2" w:themeFill="background1" w:themeFillShade="F2"/>
            <w:noWrap/>
            <w:vAlign w:val="center"/>
            <w:hideMark/>
          </w:tcPr>
          <w:p w14:paraId="0B66C80E" w14:textId="77777777" w:rsidR="003659AC" w:rsidRPr="00852B1F" w:rsidRDefault="003659AC">
            <w:pPr>
              <w:tabs>
                <w:tab w:val="left" w:pos="426"/>
                <w:tab w:val="left" w:pos="709"/>
              </w:tabs>
              <w:overflowPunct w:val="0"/>
              <w:autoSpaceDE w:val="0"/>
              <w:autoSpaceDN w:val="0"/>
              <w:adjustRightInd w:val="0"/>
              <w:spacing w:line="276" w:lineRule="auto"/>
              <w:jc w:val="center"/>
              <w:rPr>
                <w:rFonts w:ascii="Arial" w:eastAsia="Times New Roman" w:hAnsi="Arial" w:cs="Arial"/>
                <w:lang w:val="de-DE"/>
              </w:rPr>
            </w:pPr>
            <w:r w:rsidRPr="00852B1F">
              <w:rPr>
                <w:rFonts w:ascii="Arial" w:hAnsi="Arial" w:cs="Arial"/>
              </w:rPr>
              <w:t>6%</w:t>
            </w:r>
          </w:p>
        </w:tc>
        <w:tc>
          <w:tcPr>
            <w:tcW w:w="1381" w:type="dxa"/>
            <w:shd w:val="clear" w:color="auto" w:fill="F2F2F2" w:themeFill="background1" w:themeFillShade="F2"/>
            <w:noWrap/>
            <w:vAlign w:val="center"/>
            <w:hideMark/>
          </w:tcPr>
          <w:p w14:paraId="01157CCF" w14:textId="77777777" w:rsidR="003659AC" w:rsidRPr="00852B1F" w:rsidRDefault="003659AC">
            <w:pPr>
              <w:tabs>
                <w:tab w:val="left" w:pos="426"/>
                <w:tab w:val="left" w:pos="709"/>
              </w:tabs>
              <w:overflowPunct w:val="0"/>
              <w:autoSpaceDE w:val="0"/>
              <w:autoSpaceDN w:val="0"/>
              <w:adjustRightInd w:val="0"/>
              <w:spacing w:line="276" w:lineRule="auto"/>
              <w:jc w:val="center"/>
              <w:rPr>
                <w:rFonts w:ascii="Arial" w:eastAsia="Times New Roman" w:hAnsi="Arial" w:cs="Arial"/>
                <w:lang w:val="de-DE"/>
              </w:rPr>
            </w:pPr>
            <w:r w:rsidRPr="00852B1F">
              <w:rPr>
                <w:rFonts w:ascii="Arial" w:hAnsi="Arial" w:cs="Arial"/>
              </w:rPr>
              <w:t>4%</w:t>
            </w:r>
          </w:p>
        </w:tc>
        <w:tc>
          <w:tcPr>
            <w:tcW w:w="1570" w:type="dxa"/>
            <w:shd w:val="clear" w:color="auto" w:fill="F2F2F2" w:themeFill="background1" w:themeFillShade="F2"/>
            <w:noWrap/>
            <w:vAlign w:val="center"/>
            <w:hideMark/>
          </w:tcPr>
          <w:p w14:paraId="3061BBC3" w14:textId="77777777" w:rsidR="003659AC" w:rsidRPr="00852B1F" w:rsidRDefault="003659AC">
            <w:pPr>
              <w:tabs>
                <w:tab w:val="left" w:pos="426"/>
                <w:tab w:val="left" w:pos="709"/>
              </w:tabs>
              <w:overflowPunct w:val="0"/>
              <w:autoSpaceDE w:val="0"/>
              <w:autoSpaceDN w:val="0"/>
              <w:adjustRightInd w:val="0"/>
              <w:spacing w:line="276" w:lineRule="auto"/>
              <w:jc w:val="center"/>
              <w:rPr>
                <w:rFonts w:ascii="Arial" w:eastAsia="Times New Roman" w:hAnsi="Arial" w:cs="Arial"/>
                <w:lang w:val="de-DE"/>
              </w:rPr>
            </w:pPr>
            <w:r w:rsidRPr="00852B1F">
              <w:rPr>
                <w:rFonts w:ascii="Arial" w:hAnsi="Arial" w:cs="Arial"/>
              </w:rPr>
              <w:t>2%</w:t>
            </w:r>
          </w:p>
        </w:tc>
      </w:tr>
      <w:tr w:rsidR="003659AC" w:rsidRPr="00852B1F" w14:paraId="1484F71C" w14:textId="77777777" w:rsidTr="00852B1F">
        <w:trPr>
          <w:trHeight w:hRule="exact" w:val="556"/>
        </w:trPr>
        <w:tc>
          <w:tcPr>
            <w:tcW w:w="3581" w:type="dxa"/>
            <w:shd w:val="clear" w:color="auto" w:fill="auto"/>
            <w:noWrap/>
            <w:vAlign w:val="center"/>
            <w:hideMark/>
          </w:tcPr>
          <w:p w14:paraId="5C238438" w14:textId="77777777" w:rsidR="003659AC" w:rsidRPr="00852B1F" w:rsidRDefault="003659AC">
            <w:pPr>
              <w:tabs>
                <w:tab w:val="left" w:pos="709"/>
              </w:tabs>
              <w:autoSpaceDN w:val="0"/>
              <w:spacing w:line="240" w:lineRule="auto"/>
              <w:rPr>
                <w:rFonts w:ascii="Arial" w:eastAsia="Times New Roman" w:hAnsi="Arial" w:cs="Arial"/>
                <w:lang w:eastAsia="de-AT"/>
              </w:rPr>
            </w:pPr>
            <w:r w:rsidRPr="00852B1F">
              <w:rPr>
                <w:rFonts w:ascii="Arial" w:hAnsi="Arial" w:cs="Arial"/>
                <w:lang w:eastAsia="de-AT"/>
              </w:rPr>
              <w:t>Tirol (1.400)</w:t>
            </w:r>
          </w:p>
        </w:tc>
        <w:tc>
          <w:tcPr>
            <w:tcW w:w="1614" w:type="dxa"/>
            <w:shd w:val="clear" w:color="auto" w:fill="auto"/>
            <w:vAlign w:val="center"/>
            <w:hideMark/>
          </w:tcPr>
          <w:p w14:paraId="59942EFF" w14:textId="77777777" w:rsidR="003659AC" w:rsidRPr="00852B1F" w:rsidRDefault="003659AC">
            <w:pPr>
              <w:tabs>
                <w:tab w:val="left" w:pos="426"/>
                <w:tab w:val="left" w:pos="709"/>
              </w:tabs>
              <w:overflowPunct w:val="0"/>
              <w:autoSpaceDE w:val="0"/>
              <w:autoSpaceDN w:val="0"/>
              <w:adjustRightInd w:val="0"/>
              <w:spacing w:line="276" w:lineRule="auto"/>
              <w:jc w:val="center"/>
              <w:rPr>
                <w:rFonts w:ascii="Arial" w:eastAsia="Times New Roman" w:hAnsi="Arial" w:cs="Arial"/>
                <w:lang w:val="de-DE"/>
              </w:rPr>
            </w:pPr>
            <w:r w:rsidRPr="00852B1F">
              <w:rPr>
                <w:rFonts w:ascii="Arial" w:hAnsi="Arial" w:cs="Arial"/>
                <w:b/>
                <w:bCs/>
              </w:rPr>
              <w:t>24%</w:t>
            </w:r>
          </w:p>
        </w:tc>
        <w:tc>
          <w:tcPr>
            <w:tcW w:w="1612" w:type="dxa"/>
            <w:shd w:val="clear" w:color="auto" w:fill="auto"/>
            <w:noWrap/>
            <w:vAlign w:val="center"/>
            <w:hideMark/>
          </w:tcPr>
          <w:p w14:paraId="24DBDC48" w14:textId="77777777" w:rsidR="003659AC" w:rsidRPr="00852B1F" w:rsidRDefault="003659AC">
            <w:pPr>
              <w:tabs>
                <w:tab w:val="left" w:pos="426"/>
                <w:tab w:val="left" w:pos="709"/>
              </w:tabs>
              <w:overflowPunct w:val="0"/>
              <w:autoSpaceDE w:val="0"/>
              <w:autoSpaceDN w:val="0"/>
              <w:adjustRightInd w:val="0"/>
              <w:spacing w:line="276" w:lineRule="auto"/>
              <w:jc w:val="center"/>
              <w:rPr>
                <w:rFonts w:ascii="Arial" w:eastAsia="Times New Roman" w:hAnsi="Arial" w:cs="Arial"/>
                <w:lang w:val="de-DE"/>
              </w:rPr>
            </w:pPr>
            <w:r w:rsidRPr="00852B1F">
              <w:rPr>
                <w:rFonts w:ascii="Arial" w:hAnsi="Arial" w:cs="Arial"/>
              </w:rPr>
              <w:t>2%</w:t>
            </w:r>
          </w:p>
        </w:tc>
        <w:tc>
          <w:tcPr>
            <w:tcW w:w="1612" w:type="dxa"/>
            <w:shd w:val="clear" w:color="auto" w:fill="auto"/>
            <w:noWrap/>
            <w:vAlign w:val="center"/>
            <w:hideMark/>
          </w:tcPr>
          <w:p w14:paraId="219E825C" w14:textId="77777777" w:rsidR="003659AC" w:rsidRPr="00852B1F" w:rsidRDefault="003659AC">
            <w:pPr>
              <w:tabs>
                <w:tab w:val="left" w:pos="426"/>
                <w:tab w:val="left" w:pos="709"/>
              </w:tabs>
              <w:overflowPunct w:val="0"/>
              <w:autoSpaceDE w:val="0"/>
              <w:autoSpaceDN w:val="0"/>
              <w:adjustRightInd w:val="0"/>
              <w:spacing w:line="276" w:lineRule="auto"/>
              <w:jc w:val="center"/>
              <w:rPr>
                <w:rFonts w:ascii="Arial" w:eastAsia="Times New Roman" w:hAnsi="Arial" w:cs="Arial"/>
                <w:lang w:val="de-DE"/>
              </w:rPr>
            </w:pPr>
            <w:r w:rsidRPr="00852B1F">
              <w:rPr>
                <w:rFonts w:ascii="Arial" w:hAnsi="Arial" w:cs="Arial"/>
              </w:rPr>
              <w:t>6%</w:t>
            </w:r>
          </w:p>
        </w:tc>
        <w:tc>
          <w:tcPr>
            <w:tcW w:w="1612" w:type="dxa"/>
            <w:shd w:val="clear" w:color="auto" w:fill="auto"/>
            <w:noWrap/>
            <w:vAlign w:val="center"/>
            <w:hideMark/>
          </w:tcPr>
          <w:p w14:paraId="58FBD2D8" w14:textId="77777777" w:rsidR="003659AC" w:rsidRPr="00852B1F" w:rsidRDefault="003659AC">
            <w:pPr>
              <w:tabs>
                <w:tab w:val="left" w:pos="426"/>
                <w:tab w:val="left" w:pos="709"/>
              </w:tabs>
              <w:overflowPunct w:val="0"/>
              <w:autoSpaceDE w:val="0"/>
              <w:autoSpaceDN w:val="0"/>
              <w:adjustRightInd w:val="0"/>
              <w:spacing w:line="276" w:lineRule="auto"/>
              <w:jc w:val="center"/>
              <w:rPr>
                <w:rFonts w:ascii="Arial" w:eastAsia="Times New Roman" w:hAnsi="Arial" w:cs="Arial"/>
                <w:lang w:val="de-DE"/>
              </w:rPr>
            </w:pPr>
            <w:r w:rsidRPr="00852B1F">
              <w:rPr>
                <w:rFonts w:ascii="Arial" w:hAnsi="Arial" w:cs="Arial"/>
              </w:rPr>
              <w:t>7%</w:t>
            </w:r>
          </w:p>
        </w:tc>
        <w:tc>
          <w:tcPr>
            <w:tcW w:w="1614" w:type="dxa"/>
            <w:shd w:val="clear" w:color="auto" w:fill="auto"/>
            <w:noWrap/>
            <w:vAlign w:val="center"/>
            <w:hideMark/>
          </w:tcPr>
          <w:p w14:paraId="4FD496FD" w14:textId="77777777" w:rsidR="003659AC" w:rsidRPr="00852B1F" w:rsidRDefault="003659AC">
            <w:pPr>
              <w:tabs>
                <w:tab w:val="left" w:pos="426"/>
                <w:tab w:val="left" w:pos="709"/>
              </w:tabs>
              <w:overflowPunct w:val="0"/>
              <w:autoSpaceDE w:val="0"/>
              <w:autoSpaceDN w:val="0"/>
              <w:adjustRightInd w:val="0"/>
              <w:spacing w:line="276" w:lineRule="auto"/>
              <w:jc w:val="center"/>
              <w:rPr>
                <w:rFonts w:ascii="Arial" w:eastAsia="Times New Roman" w:hAnsi="Arial" w:cs="Arial"/>
                <w:lang w:val="de-DE"/>
              </w:rPr>
            </w:pPr>
            <w:r w:rsidRPr="00852B1F">
              <w:rPr>
                <w:rFonts w:ascii="Arial" w:hAnsi="Arial" w:cs="Arial"/>
              </w:rPr>
              <w:t>4%</w:t>
            </w:r>
          </w:p>
        </w:tc>
        <w:tc>
          <w:tcPr>
            <w:tcW w:w="1381" w:type="dxa"/>
            <w:shd w:val="clear" w:color="auto" w:fill="auto"/>
            <w:noWrap/>
            <w:vAlign w:val="center"/>
            <w:hideMark/>
          </w:tcPr>
          <w:p w14:paraId="29B13EAE" w14:textId="77777777" w:rsidR="003659AC" w:rsidRPr="00852B1F" w:rsidRDefault="003659AC">
            <w:pPr>
              <w:tabs>
                <w:tab w:val="left" w:pos="426"/>
                <w:tab w:val="left" w:pos="709"/>
              </w:tabs>
              <w:overflowPunct w:val="0"/>
              <w:autoSpaceDE w:val="0"/>
              <w:autoSpaceDN w:val="0"/>
              <w:adjustRightInd w:val="0"/>
              <w:spacing w:line="276" w:lineRule="auto"/>
              <w:jc w:val="center"/>
              <w:rPr>
                <w:rFonts w:ascii="Arial" w:eastAsia="Times New Roman" w:hAnsi="Arial" w:cs="Arial"/>
                <w:lang w:val="de-DE"/>
              </w:rPr>
            </w:pPr>
            <w:r w:rsidRPr="00852B1F">
              <w:rPr>
                <w:rFonts w:ascii="Arial" w:hAnsi="Arial" w:cs="Arial"/>
              </w:rPr>
              <w:t>3%</w:t>
            </w:r>
          </w:p>
        </w:tc>
        <w:tc>
          <w:tcPr>
            <w:tcW w:w="1570" w:type="dxa"/>
            <w:shd w:val="clear" w:color="auto" w:fill="auto"/>
            <w:noWrap/>
            <w:vAlign w:val="center"/>
            <w:hideMark/>
          </w:tcPr>
          <w:p w14:paraId="0FBE59BA" w14:textId="77777777" w:rsidR="003659AC" w:rsidRPr="00852B1F" w:rsidRDefault="003659AC">
            <w:pPr>
              <w:tabs>
                <w:tab w:val="left" w:pos="426"/>
                <w:tab w:val="left" w:pos="709"/>
              </w:tabs>
              <w:overflowPunct w:val="0"/>
              <w:autoSpaceDE w:val="0"/>
              <w:autoSpaceDN w:val="0"/>
              <w:adjustRightInd w:val="0"/>
              <w:spacing w:line="276" w:lineRule="auto"/>
              <w:jc w:val="center"/>
              <w:rPr>
                <w:rFonts w:ascii="Arial" w:eastAsia="Times New Roman" w:hAnsi="Arial" w:cs="Arial"/>
                <w:lang w:val="de-DE"/>
              </w:rPr>
            </w:pPr>
            <w:r w:rsidRPr="00852B1F">
              <w:rPr>
                <w:rFonts w:ascii="Arial" w:hAnsi="Arial" w:cs="Arial"/>
              </w:rPr>
              <w:t>2%</w:t>
            </w:r>
          </w:p>
        </w:tc>
      </w:tr>
      <w:tr w:rsidR="00852B1F" w:rsidRPr="00852B1F" w14:paraId="71E52E09" w14:textId="77777777" w:rsidTr="00852B1F">
        <w:trPr>
          <w:trHeight w:hRule="exact" w:val="556"/>
        </w:trPr>
        <w:tc>
          <w:tcPr>
            <w:tcW w:w="3581" w:type="dxa"/>
            <w:shd w:val="clear" w:color="auto" w:fill="F2F2F2" w:themeFill="background1" w:themeFillShade="F2"/>
            <w:noWrap/>
            <w:vAlign w:val="center"/>
            <w:hideMark/>
          </w:tcPr>
          <w:p w14:paraId="4C08AC09" w14:textId="77777777" w:rsidR="003659AC" w:rsidRPr="00852B1F" w:rsidRDefault="003659AC">
            <w:pPr>
              <w:tabs>
                <w:tab w:val="left" w:pos="709"/>
              </w:tabs>
              <w:autoSpaceDN w:val="0"/>
              <w:spacing w:line="240" w:lineRule="auto"/>
              <w:rPr>
                <w:rFonts w:ascii="Arial" w:eastAsia="Times New Roman" w:hAnsi="Arial" w:cs="Arial"/>
                <w:lang w:eastAsia="de-AT"/>
              </w:rPr>
            </w:pPr>
            <w:r w:rsidRPr="00852B1F">
              <w:rPr>
                <w:rFonts w:ascii="Arial" w:hAnsi="Arial" w:cs="Arial"/>
                <w:lang w:eastAsia="de-AT"/>
              </w:rPr>
              <w:t>Kärnten (700)</w:t>
            </w:r>
          </w:p>
        </w:tc>
        <w:tc>
          <w:tcPr>
            <w:tcW w:w="1614" w:type="dxa"/>
            <w:shd w:val="clear" w:color="auto" w:fill="F2F2F2" w:themeFill="background1" w:themeFillShade="F2"/>
            <w:vAlign w:val="center"/>
            <w:hideMark/>
          </w:tcPr>
          <w:p w14:paraId="03BCBE53" w14:textId="77777777" w:rsidR="003659AC" w:rsidRPr="00852B1F" w:rsidRDefault="003659AC">
            <w:pPr>
              <w:tabs>
                <w:tab w:val="left" w:pos="426"/>
                <w:tab w:val="left" w:pos="709"/>
              </w:tabs>
              <w:overflowPunct w:val="0"/>
              <w:autoSpaceDE w:val="0"/>
              <w:autoSpaceDN w:val="0"/>
              <w:adjustRightInd w:val="0"/>
              <w:spacing w:line="276" w:lineRule="auto"/>
              <w:jc w:val="center"/>
              <w:rPr>
                <w:rFonts w:ascii="Arial" w:eastAsia="Times New Roman" w:hAnsi="Arial" w:cs="Arial"/>
                <w:lang w:val="de-DE"/>
              </w:rPr>
            </w:pPr>
            <w:r w:rsidRPr="00852B1F">
              <w:rPr>
                <w:rFonts w:ascii="Arial" w:hAnsi="Arial" w:cs="Arial"/>
                <w:b/>
                <w:bCs/>
              </w:rPr>
              <w:t>23%</w:t>
            </w:r>
          </w:p>
        </w:tc>
        <w:tc>
          <w:tcPr>
            <w:tcW w:w="1612" w:type="dxa"/>
            <w:shd w:val="clear" w:color="auto" w:fill="F2F2F2" w:themeFill="background1" w:themeFillShade="F2"/>
            <w:noWrap/>
            <w:vAlign w:val="center"/>
            <w:hideMark/>
          </w:tcPr>
          <w:p w14:paraId="7ADE1C96" w14:textId="77777777" w:rsidR="003659AC" w:rsidRPr="00852B1F" w:rsidRDefault="003659AC">
            <w:pPr>
              <w:tabs>
                <w:tab w:val="left" w:pos="426"/>
                <w:tab w:val="left" w:pos="709"/>
              </w:tabs>
              <w:overflowPunct w:val="0"/>
              <w:autoSpaceDE w:val="0"/>
              <w:autoSpaceDN w:val="0"/>
              <w:adjustRightInd w:val="0"/>
              <w:spacing w:line="276" w:lineRule="auto"/>
              <w:jc w:val="center"/>
              <w:rPr>
                <w:rFonts w:ascii="Arial" w:eastAsia="Times New Roman" w:hAnsi="Arial" w:cs="Arial"/>
                <w:lang w:val="de-DE"/>
              </w:rPr>
            </w:pPr>
            <w:r w:rsidRPr="00852B1F">
              <w:rPr>
                <w:rFonts w:ascii="Arial" w:hAnsi="Arial" w:cs="Arial"/>
              </w:rPr>
              <w:t>4%</w:t>
            </w:r>
          </w:p>
        </w:tc>
        <w:tc>
          <w:tcPr>
            <w:tcW w:w="1612" w:type="dxa"/>
            <w:shd w:val="clear" w:color="auto" w:fill="F2F2F2" w:themeFill="background1" w:themeFillShade="F2"/>
            <w:noWrap/>
            <w:vAlign w:val="center"/>
            <w:hideMark/>
          </w:tcPr>
          <w:p w14:paraId="35FBADAA" w14:textId="77777777" w:rsidR="003659AC" w:rsidRPr="00852B1F" w:rsidRDefault="003659AC">
            <w:pPr>
              <w:tabs>
                <w:tab w:val="left" w:pos="426"/>
                <w:tab w:val="left" w:pos="709"/>
              </w:tabs>
              <w:overflowPunct w:val="0"/>
              <w:autoSpaceDE w:val="0"/>
              <w:autoSpaceDN w:val="0"/>
              <w:adjustRightInd w:val="0"/>
              <w:spacing w:line="276" w:lineRule="auto"/>
              <w:jc w:val="center"/>
              <w:rPr>
                <w:rFonts w:ascii="Arial" w:eastAsia="Times New Roman" w:hAnsi="Arial" w:cs="Arial"/>
                <w:lang w:val="de-DE"/>
              </w:rPr>
            </w:pPr>
            <w:r w:rsidRPr="00852B1F">
              <w:rPr>
                <w:rFonts w:ascii="Arial" w:hAnsi="Arial" w:cs="Arial"/>
              </w:rPr>
              <w:t>9%</w:t>
            </w:r>
          </w:p>
        </w:tc>
        <w:tc>
          <w:tcPr>
            <w:tcW w:w="1612" w:type="dxa"/>
            <w:shd w:val="clear" w:color="auto" w:fill="F2F2F2" w:themeFill="background1" w:themeFillShade="F2"/>
            <w:noWrap/>
            <w:vAlign w:val="center"/>
            <w:hideMark/>
          </w:tcPr>
          <w:p w14:paraId="13422050" w14:textId="77777777" w:rsidR="003659AC" w:rsidRPr="00852B1F" w:rsidRDefault="003659AC">
            <w:pPr>
              <w:tabs>
                <w:tab w:val="left" w:pos="426"/>
                <w:tab w:val="left" w:pos="709"/>
              </w:tabs>
              <w:overflowPunct w:val="0"/>
              <w:autoSpaceDE w:val="0"/>
              <w:autoSpaceDN w:val="0"/>
              <w:adjustRightInd w:val="0"/>
              <w:spacing w:line="276" w:lineRule="auto"/>
              <w:jc w:val="center"/>
              <w:rPr>
                <w:rFonts w:ascii="Arial" w:eastAsia="Times New Roman" w:hAnsi="Arial" w:cs="Arial"/>
                <w:lang w:val="de-DE"/>
              </w:rPr>
            </w:pPr>
            <w:r w:rsidRPr="00852B1F">
              <w:rPr>
                <w:rFonts w:ascii="Arial" w:hAnsi="Arial" w:cs="Arial"/>
              </w:rPr>
              <w:t>5%</w:t>
            </w:r>
          </w:p>
        </w:tc>
        <w:tc>
          <w:tcPr>
            <w:tcW w:w="1614" w:type="dxa"/>
            <w:shd w:val="clear" w:color="auto" w:fill="F2F2F2" w:themeFill="background1" w:themeFillShade="F2"/>
            <w:noWrap/>
            <w:vAlign w:val="center"/>
            <w:hideMark/>
          </w:tcPr>
          <w:p w14:paraId="6ADE5076" w14:textId="77777777" w:rsidR="003659AC" w:rsidRPr="00852B1F" w:rsidRDefault="003659AC">
            <w:pPr>
              <w:tabs>
                <w:tab w:val="left" w:pos="426"/>
                <w:tab w:val="left" w:pos="709"/>
              </w:tabs>
              <w:overflowPunct w:val="0"/>
              <w:autoSpaceDE w:val="0"/>
              <w:autoSpaceDN w:val="0"/>
              <w:adjustRightInd w:val="0"/>
              <w:spacing w:line="276" w:lineRule="auto"/>
              <w:jc w:val="center"/>
              <w:rPr>
                <w:rFonts w:ascii="Arial" w:eastAsia="Times New Roman" w:hAnsi="Arial" w:cs="Arial"/>
                <w:lang w:val="de-DE"/>
              </w:rPr>
            </w:pPr>
            <w:r w:rsidRPr="00852B1F">
              <w:rPr>
                <w:rFonts w:ascii="Arial" w:hAnsi="Arial" w:cs="Arial"/>
              </w:rPr>
              <w:t>2%</w:t>
            </w:r>
          </w:p>
        </w:tc>
        <w:tc>
          <w:tcPr>
            <w:tcW w:w="1381" w:type="dxa"/>
            <w:shd w:val="clear" w:color="auto" w:fill="F2F2F2" w:themeFill="background1" w:themeFillShade="F2"/>
            <w:noWrap/>
            <w:vAlign w:val="center"/>
            <w:hideMark/>
          </w:tcPr>
          <w:p w14:paraId="6DC1AFEE" w14:textId="77777777" w:rsidR="003659AC" w:rsidRPr="00852B1F" w:rsidRDefault="003659AC">
            <w:pPr>
              <w:tabs>
                <w:tab w:val="left" w:pos="426"/>
                <w:tab w:val="left" w:pos="709"/>
              </w:tabs>
              <w:overflowPunct w:val="0"/>
              <w:autoSpaceDE w:val="0"/>
              <w:autoSpaceDN w:val="0"/>
              <w:adjustRightInd w:val="0"/>
              <w:spacing w:line="276" w:lineRule="auto"/>
              <w:jc w:val="center"/>
              <w:rPr>
                <w:rFonts w:ascii="Arial" w:eastAsia="Times New Roman" w:hAnsi="Arial" w:cs="Arial"/>
                <w:lang w:val="de-DE"/>
              </w:rPr>
            </w:pPr>
            <w:r w:rsidRPr="00852B1F">
              <w:rPr>
                <w:rFonts w:ascii="Arial" w:hAnsi="Arial" w:cs="Arial"/>
              </w:rPr>
              <w:t>2%</w:t>
            </w:r>
          </w:p>
        </w:tc>
        <w:tc>
          <w:tcPr>
            <w:tcW w:w="1570" w:type="dxa"/>
            <w:shd w:val="clear" w:color="auto" w:fill="F2F2F2" w:themeFill="background1" w:themeFillShade="F2"/>
            <w:noWrap/>
            <w:vAlign w:val="center"/>
            <w:hideMark/>
          </w:tcPr>
          <w:p w14:paraId="3A874169" w14:textId="77777777" w:rsidR="003659AC" w:rsidRPr="00852B1F" w:rsidRDefault="003659AC">
            <w:pPr>
              <w:tabs>
                <w:tab w:val="left" w:pos="426"/>
                <w:tab w:val="left" w:pos="709"/>
              </w:tabs>
              <w:overflowPunct w:val="0"/>
              <w:autoSpaceDE w:val="0"/>
              <w:autoSpaceDN w:val="0"/>
              <w:adjustRightInd w:val="0"/>
              <w:spacing w:line="276" w:lineRule="auto"/>
              <w:jc w:val="center"/>
              <w:rPr>
                <w:rFonts w:ascii="Arial" w:eastAsia="Times New Roman" w:hAnsi="Arial" w:cs="Arial"/>
                <w:lang w:val="de-DE"/>
              </w:rPr>
            </w:pPr>
            <w:r w:rsidRPr="00852B1F">
              <w:rPr>
                <w:rFonts w:ascii="Arial" w:hAnsi="Arial" w:cs="Arial"/>
              </w:rPr>
              <w:t>1%</w:t>
            </w:r>
          </w:p>
        </w:tc>
      </w:tr>
      <w:tr w:rsidR="003659AC" w:rsidRPr="00852B1F" w14:paraId="449D3984" w14:textId="77777777" w:rsidTr="00852B1F">
        <w:trPr>
          <w:trHeight w:hRule="exact" w:val="556"/>
        </w:trPr>
        <w:tc>
          <w:tcPr>
            <w:tcW w:w="3581" w:type="dxa"/>
            <w:shd w:val="clear" w:color="auto" w:fill="auto"/>
            <w:noWrap/>
            <w:vAlign w:val="center"/>
            <w:hideMark/>
          </w:tcPr>
          <w:p w14:paraId="002407C2" w14:textId="77777777" w:rsidR="003659AC" w:rsidRPr="00852B1F" w:rsidRDefault="003659AC">
            <w:pPr>
              <w:tabs>
                <w:tab w:val="left" w:pos="709"/>
              </w:tabs>
              <w:autoSpaceDN w:val="0"/>
              <w:spacing w:line="240" w:lineRule="auto"/>
              <w:rPr>
                <w:rFonts w:ascii="Arial" w:eastAsia="Times New Roman" w:hAnsi="Arial" w:cs="Arial"/>
                <w:lang w:eastAsia="de-AT"/>
              </w:rPr>
            </w:pPr>
            <w:r w:rsidRPr="00852B1F">
              <w:rPr>
                <w:rFonts w:ascii="Arial" w:hAnsi="Arial" w:cs="Arial"/>
                <w:lang w:eastAsia="de-AT"/>
              </w:rPr>
              <w:t>Oberösterreich (7.200)</w:t>
            </w:r>
          </w:p>
        </w:tc>
        <w:tc>
          <w:tcPr>
            <w:tcW w:w="1614" w:type="dxa"/>
            <w:shd w:val="clear" w:color="auto" w:fill="auto"/>
            <w:vAlign w:val="center"/>
            <w:hideMark/>
          </w:tcPr>
          <w:p w14:paraId="014A53F4" w14:textId="77777777" w:rsidR="003659AC" w:rsidRPr="00852B1F" w:rsidRDefault="003659AC">
            <w:pPr>
              <w:tabs>
                <w:tab w:val="left" w:pos="426"/>
                <w:tab w:val="left" w:pos="709"/>
              </w:tabs>
              <w:overflowPunct w:val="0"/>
              <w:autoSpaceDE w:val="0"/>
              <w:autoSpaceDN w:val="0"/>
              <w:adjustRightInd w:val="0"/>
              <w:spacing w:line="276" w:lineRule="auto"/>
              <w:jc w:val="center"/>
              <w:rPr>
                <w:rFonts w:ascii="Arial" w:eastAsia="Times New Roman" w:hAnsi="Arial" w:cs="Arial"/>
                <w:lang w:val="de-DE"/>
              </w:rPr>
            </w:pPr>
            <w:r w:rsidRPr="00852B1F">
              <w:rPr>
                <w:rFonts w:ascii="Arial" w:hAnsi="Arial" w:cs="Arial"/>
                <w:b/>
                <w:bCs/>
              </w:rPr>
              <w:t>22%</w:t>
            </w:r>
          </w:p>
        </w:tc>
        <w:tc>
          <w:tcPr>
            <w:tcW w:w="1612" w:type="dxa"/>
            <w:shd w:val="clear" w:color="auto" w:fill="auto"/>
            <w:noWrap/>
            <w:vAlign w:val="center"/>
            <w:hideMark/>
          </w:tcPr>
          <w:p w14:paraId="1B836D25" w14:textId="77777777" w:rsidR="003659AC" w:rsidRPr="00852B1F" w:rsidRDefault="003659AC">
            <w:pPr>
              <w:tabs>
                <w:tab w:val="left" w:pos="426"/>
                <w:tab w:val="left" w:pos="709"/>
              </w:tabs>
              <w:overflowPunct w:val="0"/>
              <w:autoSpaceDE w:val="0"/>
              <w:autoSpaceDN w:val="0"/>
              <w:adjustRightInd w:val="0"/>
              <w:spacing w:line="276" w:lineRule="auto"/>
              <w:jc w:val="center"/>
              <w:rPr>
                <w:rFonts w:ascii="Arial" w:eastAsia="Times New Roman" w:hAnsi="Arial" w:cs="Arial"/>
                <w:lang w:val="de-DE"/>
              </w:rPr>
            </w:pPr>
            <w:r w:rsidRPr="00852B1F">
              <w:rPr>
                <w:rFonts w:ascii="Arial" w:hAnsi="Arial" w:cs="Arial"/>
              </w:rPr>
              <w:t>2%</w:t>
            </w:r>
          </w:p>
        </w:tc>
        <w:tc>
          <w:tcPr>
            <w:tcW w:w="1612" w:type="dxa"/>
            <w:shd w:val="clear" w:color="auto" w:fill="auto"/>
            <w:noWrap/>
            <w:vAlign w:val="center"/>
            <w:hideMark/>
          </w:tcPr>
          <w:p w14:paraId="1BFEDA74" w14:textId="77777777" w:rsidR="003659AC" w:rsidRPr="00852B1F" w:rsidRDefault="003659AC">
            <w:pPr>
              <w:tabs>
                <w:tab w:val="left" w:pos="426"/>
                <w:tab w:val="left" w:pos="709"/>
              </w:tabs>
              <w:overflowPunct w:val="0"/>
              <w:autoSpaceDE w:val="0"/>
              <w:autoSpaceDN w:val="0"/>
              <w:adjustRightInd w:val="0"/>
              <w:spacing w:line="276" w:lineRule="auto"/>
              <w:jc w:val="center"/>
              <w:rPr>
                <w:rFonts w:ascii="Arial" w:eastAsia="Times New Roman" w:hAnsi="Arial" w:cs="Arial"/>
                <w:lang w:val="de-DE"/>
              </w:rPr>
            </w:pPr>
            <w:r w:rsidRPr="00852B1F">
              <w:rPr>
                <w:rFonts w:ascii="Arial" w:hAnsi="Arial" w:cs="Arial"/>
              </w:rPr>
              <w:t>3%</w:t>
            </w:r>
          </w:p>
        </w:tc>
        <w:tc>
          <w:tcPr>
            <w:tcW w:w="1612" w:type="dxa"/>
            <w:shd w:val="clear" w:color="auto" w:fill="auto"/>
            <w:noWrap/>
            <w:vAlign w:val="center"/>
            <w:hideMark/>
          </w:tcPr>
          <w:p w14:paraId="1B0F612B" w14:textId="77777777" w:rsidR="003659AC" w:rsidRPr="00852B1F" w:rsidRDefault="003659AC">
            <w:pPr>
              <w:tabs>
                <w:tab w:val="left" w:pos="426"/>
                <w:tab w:val="left" w:pos="709"/>
              </w:tabs>
              <w:overflowPunct w:val="0"/>
              <w:autoSpaceDE w:val="0"/>
              <w:autoSpaceDN w:val="0"/>
              <w:adjustRightInd w:val="0"/>
              <w:spacing w:line="276" w:lineRule="auto"/>
              <w:jc w:val="center"/>
              <w:rPr>
                <w:rFonts w:ascii="Arial" w:eastAsia="Times New Roman" w:hAnsi="Arial" w:cs="Arial"/>
                <w:lang w:val="de-DE"/>
              </w:rPr>
            </w:pPr>
            <w:r w:rsidRPr="00852B1F">
              <w:rPr>
                <w:rFonts w:ascii="Arial" w:hAnsi="Arial" w:cs="Arial"/>
              </w:rPr>
              <w:t>6%</w:t>
            </w:r>
          </w:p>
        </w:tc>
        <w:tc>
          <w:tcPr>
            <w:tcW w:w="1614" w:type="dxa"/>
            <w:shd w:val="clear" w:color="auto" w:fill="auto"/>
            <w:noWrap/>
            <w:vAlign w:val="center"/>
            <w:hideMark/>
          </w:tcPr>
          <w:p w14:paraId="380F7DF9" w14:textId="77777777" w:rsidR="003659AC" w:rsidRPr="00852B1F" w:rsidRDefault="003659AC">
            <w:pPr>
              <w:tabs>
                <w:tab w:val="left" w:pos="426"/>
                <w:tab w:val="left" w:pos="709"/>
              </w:tabs>
              <w:overflowPunct w:val="0"/>
              <w:autoSpaceDE w:val="0"/>
              <w:autoSpaceDN w:val="0"/>
              <w:adjustRightInd w:val="0"/>
              <w:spacing w:line="276" w:lineRule="auto"/>
              <w:jc w:val="center"/>
              <w:rPr>
                <w:rFonts w:ascii="Arial" w:eastAsia="Times New Roman" w:hAnsi="Arial" w:cs="Arial"/>
                <w:lang w:val="de-DE"/>
              </w:rPr>
            </w:pPr>
            <w:r w:rsidRPr="00852B1F">
              <w:rPr>
                <w:rFonts w:ascii="Arial" w:hAnsi="Arial" w:cs="Arial"/>
              </w:rPr>
              <w:t>6%</w:t>
            </w:r>
          </w:p>
        </w:tc>
        <w:tc>
          <w:tcPr>
            <w:tcW w:w="1381" w:type="dxa"/>
            <w:shd w:val="clear" w:color="auto" w:fill="auto"/>
            <w:noWrap/>
            <w:vAlign w:val="center"/>
            <w:hideMark/>
          </w:tcPr>
          <w:p w14:paraId="45607AA5" w14:textId="77777777" w:rsidR="003659AC" w:rsidRPr="00852B1F" w:rsidRDefault="003659AC">
            <w:pPr>
              <w:tabs>
                <w:tab w:val="left" w:pos="426"/>
                <w:tab w:val="left" w:pos="709"/>
              </w:tabs>
              <w:overflowPunct w:val="0"/>
              <w:autoSpaceDE w:val="0"/>
              <w:autoSpaceDN w:val="0"/>
              <w:adjustRightInd w:val="0"/>
              <w:spacing w:line="276" w:lineRule="auto"/>
              <w:jc w:val="center"/>
              <w:rPr>
                <w:rFonts w:ascii="Arial" w:eastAsia="Times New Roman" w:hAnsi="Arial" w:cs="Arial"/>
                <w:lang w:val="de-DE"/>
              </w:rPr>
            </w:pPr>
            <w:r w:rsidRPr="00852B1F">
              <w:rPr>
                <w:rFonts w:ascii="Arial" w:hAnsi="Arial" w:cs="Arial"/>
              </w:rPr>
              <w:t>2%</w:t>
            </w:r>
          </w:p>
        </w:tc>
        <w:tc>
          <w:tcPr>
            <w:tcW w:w="1570" w:type="dxa"/>
            <w:shd w:val="clear" w:color="auto" w:fill="auto"/>
            <w:noWrap/>
            <w:vAlign w:val="center"/>
            <w:hideMark/>
          </w:tcPr>
          <w:p w14:paraId="214DE6D5" w14:textId="77777777" w:rsidR="003659AC" w:rsidRPr="00852B1F" w:rsidRDefault="003659AC">
            <w:pPr>
              <w:tabs>
                <w:tab w:val="left" w:pos="426"/>
                <w:tab w:val="left" w:pos="709"/>
              </w:tabs>
              <w:overflowPunct w:val="0"/>
              <w:autoSpaceDE w:val="0"/>
              <w:autoSpaceDN w:val="0"/>
              <w:adjustRightInd w:val="0"/>
              <w:spacing w:line="276" w:lineRule="auto"/>
              <w:jc w:val="center"/>
              <w:rPr>
                <w:rFonts w:ascii="Arial" w:eastAsia="Times New Roman" w:hAnsi="Arial" w:cs="Arial"/>
                <w:lang w:val="de-DE"/>
              </w:rPr>
            </w:pPr>
            <w:r w:rsidRPr="00852B1F">
              <w:rPr>
                <w:rFonts w:ascii="Arial" w:hAnsi="Arial" w:cs="Arial"/>
              </w:rPr>
              <w:t>2%</w:t>
            </w:r>
          </w:p>
        </w:tc>
      </w:tr>
      <w:tr w:rsidR="00852B1F" w:rsidRPr="00852B1F" w14:paraId="02423FF5" w14:textId="77777777" w:rsidTr="00852B1F">
        <w:trPr>
          <w:trHeight w:hRule="exact" w:val="556"/>
        </w:trPr>
        <w:tc>
          <w:tcPr>
            <w:tcW w:w="3581" w:type="dxa"/>
            <w:shd w:val="clear" w:color="auto" w:fill="F2F2F2" w:themeFill="background1" w:themeFillShade="F2"/>
            <w:noWrap/>
            <w:vAlign w:val="center"/>
            <w:hideMark/>
          </w:tcPr>
          <w:p w14:paraId="5EB4695F" w14:textId="77777777" w:rsidR="003659AC" w:rsidRPr="00852B1F" w:rsidRDefault="003659AC">
            <w:pPr>
              <w:tabs>
                <w:tab w:val="left" w:pos="709"/>
              </w:tabs>
              <w:autoSpaceDN w:val="0"/>
              <w:spacing w:line="240" w:lineRule="auto"/>
              <w:rPr>
                <w:rFonts w:ascii="Arial" w:eastAsia="Times New Roman" w:hAnsi="Arial" w:cs="Arial"/>
                <w:lang w:eastAsia="de-AT"/>
              </w:rPr>
            </w:pPr>
            <w:r w:rsidRPr="00852B1F">
              <w:rPr>
                <w:rFonts w:ascii="Arial" w:hAnsi="Arial" w:cs="Arial"/>
                <w:lang w:eastAsia="de-AT"/>
              </w:rPr>
              <w:t>Steiermark (4.400)</w:t>
            </w:r>
          </w:p>
        </w:tc>
        <w:tc>
          <w:tcPr>
            <w:tcW w:w="1614" w:type="dxa"/>
            <w:shd w:val="clear" w:color="auto" w:fill="F2F2F2" w:themeFill="background1" w:themeFillShade="F2"/>
            <w:vAlign w:val="center"/>
            <w:hideMark/>
          </w:tcPr>
          <w:p w14:paraId="4A3B5B58" w14:textId="77777777" w:rsidR="003659AC" w:rsidRPr="00852B1F" w:rsidRDefault="003659AC">
            <w:pPr>
              <w:tabs>
                <w:tab w:val="left" w:pos="426"/>
                <w:tab w:val="left" w:pos="709"/>
              </w:tabs>
              <w:overflowPunct w:val="0"/>
              <w:autoSpaceDE w:val="0"/>
              <w:autoSpaceDN w:val="0"/>
              <w:adjustRightInd w:val="0"/>
              <w:spacing w:line="276" w:lineRule="auto"/>
              <w:jc w:val="center"/>
              <w:rPr>
                <w:rFonts w:ascii="Arial" w:eastAsia="Times New Roman" w:hAnsi="Arial" w:cs="Arial"/>
                <w:lang w:val="de-DE"/>
              </w:rPr>
            </w:pPr>
            <w:r w:rsidRPr="00852B1F">
              <w:rPr>
                <w:rFonts w:ascii="Arial" w:hAnsi="Arial" w:cs="Arial"/>
                <w:b/>
                <w:bCs/>
              </w:rPr>
              <w:t>18%</w:t>
            </w:r>
          </w:p>
        </w:tc>
        <w:tc>
          <w:tcPr>
            <w:tcW w:w="1612" w:type="dxa"/>
            <w:shd w:val="clear" w:color="auto" w:fill="F2F2F2" w:themeFill="background1" w:themeFillShade="F2"/>
            <w:noWrap/>
            <w:vAlign w:val="center"/>
            <w:hideMark/>
          </w:tcPr>
          <w:p w14:paraId="622C2625" w14:textId="77777777" w:rsidR="003659AC" w:rsidRPr="00852B1F" w:rsidRDefault="003659AC">
            <w:pPr>
              <w:tabs>
                <w:tab w:val="left" w:pos="426"/>
                <w:tab w:val="left" w:pos="709"/>
              </w:tabs>
              <w:overflowPunct w:val="0"/>
              <w:autoSpaceDE w:val="0"/>
              <w:autoSpaceDN w:val="0"/>
              <w:adjustRightInd w:val="0"/>
              <w:spacing w:line="276" w:lineRule="auto"/>
              <w:jc w:val="center"/>
              <w:rPr>
                <w:rFonts w:ascii="Arial" w:eastAsia="Times New Roman" w:hAnsi="Arial" w:cs="Arial"/>
                <w:lang w:val="de-DE"/>
              </w:rPr>
            </w:pPr>
            <w:r w:rsidRPr="00852B1F">
              <w:rPr>
                <w:rFonts w:ascii="Arial" w:hAnsi="Arial" w:cs="Arial"/>
              </w:rPr>
              <w:t>2%</w:t>
            </w:r>
          </w:p>
        </w:tc>
        <w:tc>
          <w:tcPr>
            <w:tcW w:w="1612" w:type="dxa"/>
            <w:shd w:val="clear" w:color="auto" w:fill="F2F2F2" w:themeFill="background1" w:themeFillShade="F2"/>
            <w:noWrap/>
            <w:vAlign w:val="center"/>
            <w:hideMark/>
          </w:tcPr>
          <w:p w14:paraId="52C037DA" w14:textId="77777777" w:rsidR="003659AC" w:rsidRPr="00852B1F" w:rsidRDefault="003659AC">
            <w:pPr>
              <w:tabs>
                <w:tab w:val="left" w:pos="426"/>
                <w:tab w:val="left" w:pos="709"/>
              </w:tabs>
              <w:overflowPunct w:val="0"/>
              <w:autoSpaceDE w:val="0"/>
              <w:autoSpaceDN w:val="0"/>
              <w:adjustRightInd w:val="0"/>
              <w:spacing w:line="276" w:lineRule="auto"/>
              <w:jc w:val="center"/>
              <w:rPr>
                <w:rFonts w:ascii="Arial" w:eastAsia="Times New Roman" w:hAnsi="Arial" w:cs="Arial"/>
                <w:lang w:val="de-DE"/>
              </w:rPr>
            </w:pPr>
            <w:r w:rsidRPr="00852B1F">
              <w:rPr>
                <w:rFonts w:ascii="Arial" w:hAnsi="Arial" w:cs="Arial"/>
              </w:rPr>
              <w:t>3%</w:t>
            </w:r>
          </w:p>
        </w:tc>
        <w:tc>
          <w:tcPr>
            <w:tcW w:w="1612" w:type="dxa"/>
            <w:shd w:val="clear" w:color="auto" w:fill="F2F2F2" w:themeFill="background1" w:themeFillShade="F2"/>
            <w:noWrap/>
            <w:vAlign w:val="center"/>
            <w:hideMark/>
          </w:tcPr>
          <w:p w14:paraId="332B7AF1" w14:textId="77777777" w:rsidR="003659AC" w:rsidRPr="00852B1F" w:rsidRDefault="003659AC">
            <w:pPr>
              <w:tabs>
                <w:tab w:val="left" w:pos="426"/>
                <w:tab w:val="left" w:pos="709"/>
              </w:tabs>
              <w:overflowPunct w:val="0"/>
              <w:autoSpaceDE w:val="0"/>
              <w:autoSpaceDN w:val="0"/>
              <w:adjustRightInd w:val="0"/>
              <w:spacing w:line="276" w:lineRule="auto"/>
              <w:jc w:val="center"/>
              <w:rPr>
                <w:rFonts w:ascii="Arial" w:eastAsia="Times New Roman" w:hAnsi="Arial" w:cs="Arial"/>
                <w:lang w:val="de-DE"/>
              </w:rPr>
            </w:pPr>
            <w:r w:rsidRPr="00852B1F">
              <w:rPr>
                <w:rFonts w:ascii="Arial" w:hAnsi="Arial" w:cs="Arial"/>
              </w:rPr>
              <w:t>3%</w:t>
            </w:r>
          </w:p>
        </w:tc>
        <w:tc>
          <w:tcPr>
            <w:tcW w:w="1614" w:type="dxa"/>
            <w:shd w:val="clear" w:color="auto" w:fill="F2F2F2" w:themeFill="background1" w:themeFillShade="F2"/>
            <w:noWrap/>
            <w:vAlign w:val="center"/>
            <w:hideMark/>
          </w:tcPr>
          <w:p w14:paraId="261833BD" w14:textId="77777777" w:rsidR="003659AC" w:rsidRPr="00852B1F" w:rsidRDefault="003659AC">
            <w:pPr>
              <w:tabs>
                <w:tab w:val="left" w:pos="426"/>
                <w:tab w:val="left" w:pos="709"/>
              </w:tabs>
              <w:overflowPunct w:val="0"/>
              <w:autoSpaceDE w:val="0"/>
              <w:autoSpaceDN w:val="0"/>
              <w:adjustRightInd w:val="0"/>
              <w:spacing w:line="276" w:lineRule="auto"/>
              <w:jc w:val="center"/>
              <w:rPr>
                <w:rFonts w:ascii="Arial" w:eastAsia="Times New Roman" w:hAnsi="Arial" w:cs="Arial"/>
                <w:lang w:val="de-DE"/>
              </w:rPr>
            </w:pPr>
            <w:r w:rsidRPr="00852B1F">
              <w:rPr>
                <w:rFonts w:ascii="Arial" w:hAnsi="Arial" w:cs="Arial"/>
              </w:rPr>
              <w:t>8%</w:t>
            </w:r>
          </w:p>
        </w:tc>
        <w:tc>
          <w:tcPr>
            <w:tcW w:w="1381" w:type="dxa"/>
            <w:shd w:val="clear" w:color="auto" w:fill="F2F2F2" w:themeFill="background1" w:themeFillShade="F2"/>
            <w:noWrap/>
            <w:vAlign w:val="center"/>
            <w:hideMark/>
          </w:tcPr>
          <w:p w14:paraId="09859861" w14:textId="77777777" w:rsidR="003659AC" w:rsidRPr="00852B1F" w:rsidRDefault="003659AC">
            <w:pPr>
              <w:tabs>
                <w:tab w:val="left" w:pos="426"/>
                <w:tab w:val="left" w:pos="709"/>
              </w:tabs>
              <w:overflowPunct w:val="0"/>
              <w:autoSpaceDE w:val="0"/>
              <w:autoSpaceDN w:val="0"/>
              <w:adjustRightInd w:val="0"/>
              <w:spacing w:line="276" w:lineRule="auto"/>
              <w:jc w:val="center"/>
              <w:rPr>
                <w:rFonts w:ascii="Arial" w:eastAsia="Times New Roman" w:hAnsi="Arial" w:cs="Arial"/>
                <w:lang w:val="de-DE"/>
              </w:rPr>
            </w:pPr>
            <w:r w:rsidRPr="00852B1F">
              <w:rPr>
                <w:rFonts w:ascii="Arial" w:hAnsi="Arial" w:cs="Arial"/>
              </w:rPr>
              <w:t>2%</w:t>
            </w:r>
          </w:p>
        </w:tc>
        <w:tc>
          <w:tcPr>
            <w:tcW w:w="1570" w:type="dxa"/>
            <w:shd w:val="clear" w:color="auto" w:fill="F2F2F2" w:themeFill="background1" w:themeFillShade="F2"/>
            <w:noWrap/>
            <w:vAlign w:val="center"/>
            <w:hideMark/>
          </w:tcPr>
          <w:p w14:paraId="653375FC" w14:textId="77777777" w:rsidR="003659AC" w:rsidRPr="00852B1F" w:rsidRDefault="003659AC">
            <w:pPr>
              <w:tabs>
                <w:tab w:val="left" w:pos="426"/>
                <w:tab w:val="left" w:pos="709"/>
              </w:tabs>
              <w:overflowPunct w:val="0"/>
              <w:autoSpaceDE w:val="0"/>
              <w:autoSpaceDN w:val="0"/>
              <w:adjustRightInd w:val="0"/>
              <w:spacing w:line="276" w:lineRule="auto"/>
              <w:jc w:val="center"/>
              <w:rPr>
                <w:rFonts w:ascii="Arial" w:eastAsia="Times New Roman" w:hAnsi="Arial" w:cs="Arial"/>
                <w:lang w:val="de-DE"/>
              </w:rPr>
            </w:pPr>
            <w:r w:rsidRPr="00852B1F">
              <w:rPr>
                <w:rFonts w:ascii="Arial" w:hAnsi="Arial" w:cs="Arial"/>
              </w:rPr>
              <w:t>0%</w:t>
            </w:r>
          </w:p>
        </w:tc>
      </w:tr>
      <w:tr w:rsidR="00852B1F" w:rsidRPr="00852B1F" w14:paraId="054AA55A" w14:textId="77777777" w:rsidTr="00852B1F">
        <w:trPr>
          <w:trHeight w:hRule="exact" w:val="556"/>
        </w:trPr>
        <w:tc>
          <w:tcPr>
            <w:tcW w:w="3581" w:type="dxa"/>
            <w:shd w:val="clear" w:color="auto" w:fill="FFFFFF" w:themeFill="background1"/>
            <w:noWrap/>
            <w:vAlign w:val="center"/>
            <w:hideMark/>
          </w:tcPr>
          <w:p w14:paraId="429C53B3" w14:textId="77777777" w:rsidR="003659AC" w:rsidRPr="00852B1F" w:rsidRDefault="003659AC">
            <w:pPr>
              <w:tabs>
                <w:tab w:val="left" w:pos="709"/>
              </w:tabs>
              <w:autoSpaceDN w:val="0"/>
              <w:spacing w:line="240" w:lineRule="auto"/>
              <w:rPr>
                <w:rFonts w:ascii="Arial" w:eastAsia="Times New Roman" w:hAnsi="Arial" w:cs="Arial"/>
                <w:lang w:eastAsia="de-AT"/>
              </w:rPr>
            </w:pPr>
            <w:r w:rsidRPr="00852B1F">
              <w:rPr>
                <w:rFonts w:ascii="Arial" w:hAnsi="Arial" w:cs="Arial"/>
                <w:lang w:eastAsia="de-AT"/>
              </w:rPr>
              <w:t>Niederösterreich (2.500)</w:t>
            </w:r>
          </w:p>
        </w:tc>
        <w:tc>
          <w:tcPr>
            <w:tcW w:w="1614" w:type="dxa"/>
            <w:shd w:val="clear" w:color="auto" w:fill="FFFFFF" w:themeFill="background1"/>
            <w:vAlign w:val="center"/>
            <w:hideMark/>
          </w:tcPr>
          <w:p w14:paraId="0243CEA1" w14:textId="77777777" w:rsidR="003659AC" w:rsidRPr="00852B1F" w:rsidRDefault="003659AC">
            <w:pPr>
              <w:tabs>
                <w:tab w:val="left" w:pos="426"/>
                <w:tab w:val="left" w:pos="709"/>
              </w:tabs>
              <w:overflowPunct w:val="0"/>
              <w:autoSpaceDE w:val="0"/>
              <w:autoSpaceDN w:val="0"/>
              <w:adjustRightInd w:val="0"/>
              <w:spacing w:line="276" w:lineRule="auto"/>
              <w:jc w:val="center"/>
              <w:rPr>
                <w:rFonts w:ascii="Arial" w:eastAsia="Times New Roman" w:hAnsi="Arial" w:cs="Arial"/>
                <w:lang w:val="de-DE"/>
              </w:rPr>
            </w:pPr>
            <w:r w:rsidRPr="00852B1F">
              <w:rPr>
                <w:rFonts w:ascii="Arial" w:hAnsi="Arial" w:cs="Arial"/>
                <w:b/>
                <w:bCs/>
              </w:rPr>
              <w:t>16%</w:t>
            </w:r>
          </w:p>
        </w:tc>
        <w:tc>
          <w:tcPr>
            <w:tcW w:w="1612" w:type="dxa"/>
            <w:shd w:val="clear" w:color="auto" w:fill="FFFFFF" w:themeFill="background1"/>
            <w:noWrap/>
            <w:vAlign w:val="center"/>
            <w:hideMark/>
          </w:tcPr>
          <w:p w14:paraId="7E5A9D5F" w14:textId="77777777" w:rsidR="003659AC" w:rsidRPr="00852B1F" w:rsidRDefault="003659AC">
            <w:pPr>
              <w:tabs>
                <w:tab w:val="left" w:pos="426"/>
                <w:tab w:val="left" w:pos="709"/>
              </w:tabs>
              <w:overflowPunct w:val="0"/>
              <w:autoSpaceDE w:val="0"/>
              <w:autoSpaceDN w:val="0"/>
              <w:adjustRightInd w:val="0"/>
              <w:spacing w:line="276" w:lineRule="auto"/>
              <w:jc w:val="center"/>
              <w:rPr>
                <w:rFonts w:ascii="Arial" w:eastAsia="Times New Roman" w:hAnsi="Arial" w:cs="Arial"/>
                <w:lang w:val="de-DE"/>
              </w:rPr>
            </w:pPr>
            <w:r w:rsidRPr="00852B1F">
              <w:rPr>
                <w:rFonts w:ascii="Arial" w:hAnsi="Arial" w:cs="Arial"/>
              </w:rPr>
              <w:t>2%</w:t>
            </w:r>
          </w:p>
        </w:tc>
        <w:tc>
          <w:tcPr>
            <w:tcW w:w="1612" w:type="dxa"/>
            <w:shd w:val="clear" w:color="auto" w:fill="FFFFFF" w:themeFill="background1"/>
            <w:noWrap/>
            <w:vAlign w:val="center"/>
            <w:hideMark/>
          </w:tcPr>
          <w:p w14:paraId="75545021" w14:textId="77777777" w:rsidR="003659AC" w:rsidRPr="00852B1F" w:rsidRDefault="003659AC">
            <w:pPr>
              <w:tabs>
                <w:tab w:val="left" w:pos="426"/>
                <w:tab w:val="left" w:pos="709"/>
              </w:tabs>
              <w:overflowPunct w:val="0"/>
              <w:autoSpaceDE w:val="0"/>
              <w:autoSpaceDN w:val="0"/>
              <w:adjustRightInd w:val="0"/>
              <w:spacing w:line="276" w:lineRule="auto"/>
              <w:jc w:val="center"/>
              <w:rPr>
                <w:rFonts w:ascii="Arial" w:eastAsia="Times New Roman" w:hAnsi="Arial" w:cs="Arial"/>
                <w:lang w:val="de-DE"/>
              </w:rPr>
            </w:pPr>
            <w:r w:rsidRPr="00852B1F">
              <w:rPr>
                <w:rFonts w:ascii="Arial" w:hAnsi="Arial" w:cs="Arial"/>
              </w:rPr>
              <w:t>3%</w:t>
            </w:r>
          </w:p>
        </w:tc>
        <w:tc>
          <w:tcPr>
            <w:tcW w:w="1612" w:type="dxa"/>
            <w:shd w:val="clear" w:color="auto" w:fill="FFFFFF" w:themeFill="background1"/>
            <w:noWrap/>
            <w:vAlign w:val="center"/>
            <w:hideMark/>
          </w:tcPr>
          <w:p w14:paraId="3E92F441" w14:textId="77777777" w:rsidR="003659AC" w:rsidRPr="00852B1F" w:rsidRDefault="003659AC">
            <w:pPr>
              <w:tabs>
                <w:tab w:val="left" w:pos="426"/>
                <w:tab w:val="left" w:pos="709"/>
              </w:tabs>
              <w:overflowPunct w:val="0"/>
              <w:autoSpaceDE w:val="0"/>
              <w:autoSpaceDN w:val="0"/>
              <w:adjustRightInd w:val="0"/>
              <w:spacing w:line="276" w:lineRule="auto"/>
              <w:jc w:val="center"/>
              <w:rPr>
                <w:rFonts w:ascii="Arial" w:eastAsia="Times New Roman" w:hAnsi="Arial" w:cs="Arial"/>
                <w:lang w:val="de-DE"/>
              </w:rPr>
            </w:pPr>
            <w:r w:rsidRPr="00852B1F">
              <w:rPr>
                <w:rFonts w:ascii="Arial" w:hAnsi="Arial" w:cs="Arial"/>
              </w:rPr>
              <w:t>5%</w:t>
            </w:r>
          </w:p>
        </w:tc>
        <w:tc>
          <w:tcPr>
            <w:tcW w:w="1614" w:type="dxa"/>
            <w:shd w:val="clear" w:color="auto" w:fill="FFFFFF" w:themeFill="background1"/>
            <w:noWrap/>
            <w:vAlign w:val="center"/>
            <w:hideMark/>
          </w:tcPr>
          <w:p w14:paraId="26B13B9B" w14:textId="77777777" w:rsidR="003659AC" w:rsidRPr="00852B1F" w:rsidRDefault="003659AC">
            <w:pPr>
              <w:tabs>
                <w:tab w:val="left" w:pos="426"/>
                <w:tab w:val="left" w:pos="709"/>
              </w:tabs>
              <w:overflowPunct w:val="0"/>
              <w:autoSpaceDE w:val="0"/>
              <w:autoSpaceDN w:val="0"/>
              <w:adjustRightInd w:val="0"/>
              <w:spacing w:line="276" w:lineRule="auto"/>
              <w:jc w:val="center"/>
              <w:rPr>
                <w:rFonts w:ascii="Arial" w:eastAsia="Times New Roman" w:hAnsi="Arial" w:cs="Arial"/>
                <w:lang w:val="de-DE"/>
              </w:rPr>
            </w:pPr>
            <w:r w:rsidRPr="00852B1F">
              <w:rPr>
                <w:rFonts w:ascii="Arial" w:hAnsi="Arial" w:cs="Arial"/>
              </w:rPr>
              <w:t>3%</w:t>
            </w:r>
          </w:p>
        </w:tc>
        <w:tc>
          <w:tcPr>
            <w:tcW w:w="1381" w:type="dxa"/>
            <w:shd w:val="clear" w:color="auto" w:fill="FFFFFF" w:themeFill="background1"/>
            <w:noWrap/>
            <w:vAlign w:val="center"/>
            <w:hideMark/>
          </w:tcPr>
          <w:p w14:paraId="7848628D" w14:textId="77777777" w:rsidR="003659AC" w:rsidRPr="00852B1F" w:rsidRDefault="003659AC">
            <w:pPr>
              <w:tabs>
                <w:tab w:val="left" w:pos="426"/>
                <w:tab w:val="left" w:pos="709"/>
              </w:tabs>
              <w:overflowPunct w:val="0"/>
              <w:autoSpaceDE w:val="0"/>
              <w:autoSpaceDN w:val="0"/>
              <w:adjustRightInd w:val="0"/>
              <w:spacing w:line="276" w:lineRule="auto"/>
              <w:jc w:val="center"/>
              <w:rPr>
                <w:rFonts w:ascii="Arial" w:eastAsia="Times New Roman" w:hAnsi="Arial" w:cs="Arial"/>
                <w:lang w:val="de-DE"/>
              </w:rPr>
            </w:pPr>
            <w:r w:rsidRPr="00852B1F">
              <w:rPr>
                <w:rFonts w:ascii="Arial" w:hAnsi="Arial" w:cs="Arial"/>
              </w:rPr>
              <w:t>2%</w:t>
            </w:r>
          </w:p>
        </w:tc>
        <w:tc>
          <w:tcPr>
            <w:tcW w:w="1570" w:type="dxa"/>
            <w:shd w:val="clear" w:color="auto" w:fill="FFFFFF" w:themeFill="background1"/>
            <w:noWrap/>
            <w:vAlign w:val="center"/>
            <w:hideMark/>
          </w:tcPr>
          <w:p w14:paraId="0BF9B2BD" w14:textId="77777777" w:rsidR="003659AC" w:rsidRPr="00852B1F" w:rsidRDefault="003659AC">
            <w:pPr>
              <w:tabs>
                <w:tab w:val="left" w:pos="426"/>
                <w:tab w:val="left" w:pos="709"/>
              </w:tabs>
              <w:overflowPunct w:val="0"/>
              <w:autoSpaceDE w:val="0"/>
              <w:autoSpaceDN w:val="0"/>
              <w:adjustRightInd w:val="0"/>
              <w:spacing w:line="276" w:lineRule="auto"/>
              <w:jc w:val="center"/>
              <w:rPr>
                <w:rFonts w:ascii="Arial" w:eastAsia="Times New Roman" w:hAnsi="Arial" w:cs="Arial"/>
                <w:lang w:val="de-DE"/>
              </w:rPr>
            </w:pPr>
            <w:r w:rsidRPr="00852B1F">
              <w:rPr>
                <w:rFonts w:ascii="Arial" w:hAnsi="Arial" w:cs="Arial"/>
              </w:rPr>
              <w:t>2%</w:t>
            </w:r>
          </w:p>
        </w:tc>
      </w:tr>
    </w:tbl>
    <w:p w14:paraId="67DE6127" w14:textId="59420064" w:rsidR="003659AC" w:rsidRPr="003659AC" w:rsidRDefault="003659AC" w:rsidP="003659AC">
      <w:pPr>
        <w:rPr>
          <w:sz w:val="21"/>
          <w:szCs w:val="21"/>
        </w:rPr>
      </w:pPr>
    </w:p>
    <w:sectPr w:rsidR="003659AC" w:rsidRPr="003659AC" w:rsidSect="00791ED6">
      <w:pgSz w:w="16838" w:h="11906" w:orient="landscape"/>
      <w:pgMar w:top="991" w:right="1134" w:bottom="1417" w:left="1135"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99778A" w14:textId="77777777" w:rsidR="00656234" w:rsidRDefault="00656234" w:rsidP="004334F2">
      <w:pPr>
        <w:spacing w:line="240" w:lineRule="auto"/>
      </w:pPr>
      <w:r>
        <w:separator/>
      </w:r>
    </w:p>
  </w:endnote>
  <w:endnote w:type="continuationSeparator" w:id="0">
    <w:p w14:paraId="3EAA96D8" w14:textId="77777777" w:rsidR="00656234" w:rsidRDefault="00656234" w:rsidP="004334F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tima">
    <w:altName w:val="Courier New"/>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altName w:val="Verdana"/>
    <w:panose1 w:val="020B0604030504040204"/>
    <w:charset w:val="00"/>
    <w:family w:val="swiss"/>
    <w:pitch w:val="variable"/>
    <w:sig w:usb0="A00006FF" w:usb1="4000205B" w:usb2="00000010" w:usb3="00000000" w:csb0="0000019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F84C6F" w14:textId="50F3F089" w:rsidR="00500106" w:rsidRDefault="00500106">
    <w:pPr>
      <w:pStyle w:val="Fuzeile"/>
      <w:jc w:val="right"/>
    </w:pPr>
    <w:r>
      <w:t xml:space="preserve">Seite </w:t>
    </w:r>
    <w:sdt>
      <w:sdtPr>
        <w:id w:val="-1553763622"/>
        <w:docPartObj>
          <w:docPartGallery w:val="Page Numbers (Bottom of Page)"/>
          <w:docPartUnique/>
        </w:docPartObj>
      </w:sdtPr>
      <w:sdtEndPr/>
      <w:sdtContent>
        <w:r>
          <w:fldChar w:fldCharType="begin"/>
        </w:r>
        <w:r>
          <w:instrText>PAGE   \* MERGEFORMAT</w:instrText>
        </w:r>
        <w:r>
          <w:fldChar w:fldCharType="separate"/>
        </w:r>
        <w:r w:rsidR="00904F04" w:rsidRPr="00904F04">
          <w:rPr>
            <w:noProof/>
            <w:lang w:val="de-DE"/>
          </w:rPr>
          <w:t>1</w:t>
        </w:r>
        <w:r>
          <w:fldChar w:fldCharType="end"/>
        </w:r>
      </w:sdtContent>
    </w:sdt>
  </w:p>
  <w:p w14:paraId="4A6C3FD1" w14:textId="77777777" w:rsidR="00500106" w:rsidRDefault="00500106">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251856" w14:textId="77777777" w:rsidR="00656234" w:rsidRDefault="00656234" w:rsidP="004334F2">
      <w:pPr>
        <w:spacing w:line="240" w:lineRule="auto"/>
      </w:pPr>
      <w:r>
        <w:separator/>
      </w:r>
    </w:p>
  </w:footnote>
  <w:footnote w:type="continuationSeparator" w:id="0">
    <w:p w14:paraId="5B01DBCB" w14:textId="77777777" w:rsidR="00656234" w:rsidRDefault="00656234" w:rsidP="004334F2">
      <w:pPr>
        <w:spacing w:line="240" w:lineRule="auto"/>
      </w:pPr>
      <w:r>
        <w:continuationSeparator/>
      </w:r>
    </w:p>
  </w:footnote>
  <w:footnote w:id="1">
    <w:p w14:paraId="793FC0A2" w14:textId="77777777" w:rsidR="00A114E6" w:rsidRDefault="00A114E6" w:rsidP="00A114E6">
      <w:pPr>
        <w:pStyle w:val="Funotentext"/>
      </w:pPr>
      <w:r>
        <w:rPr>
          <w:rStyle w:val="Funotenzeichen"/>
          <w:sz w:val="12"/>
          <w:szCs w:val="16"/>
        </w:rPr>
        <w:footnoteRef/>
      </w:r>
      <w:r>
        <w:rPr>
          <w:sz w:val="12"/>
          <w:szCs w:val="16"/>
        </w:rPr>
        <w:t xml:space="preserve"> </w:t>
      </w:r>
      <w:r>
        <w:rPr>
          <w:sz w:val="12"/>
          <w:szCs w:val="16"/>
        </w:rPr>
        <w:tab/>
        <w:t>Im DESI-Ranking (Digital Economy and Society Index hat sich Österreich gegenüber dem Vorjahr um einen Rang auf Platz 13 verschlechtert.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2D4F9A4"/>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9727FAD"/>
    <w:multiLevelType w:val="hybridMultilevel"/>
    <w:tmpl w:val="69C8BD92"/>
    <w:lvl w:ilvl="0" w:tplc="BEC41E8C">
      <w:start w:val="3"/>
      <w:numFmt w:val="bullet"/>
      <w:lvlText w:val="-"/>
      <w:lvlJc w:val="left"/>
      <w:pPr>
        <w:ind w:left="720" w:hanging="360"/>
      </w:pPr>
      <w:rPr>
        <w:rFonts w:ascii="Trebuchet MS" w:eastAsia="Times New Roman" w:hAnsi="Trebuchet MS"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0E686A45"/>
    <w:multiLevelType w:val="hybridMultilevel"/>
    <w:tmpl w:val="09545652"/>
    <w:lvl w:ilvl="0" w:tplc="BA723086">
      <w:start w:val="19"/>
      <w:numFmt w:val="bullet"/>
      <w:lvlText w:val="-"/>
      <w:lvlJc w:val="left"/>
      <w:pPr>
        <w:ind w:left="720" w:hanging="360"/>
      </w:pPr>
      <w:rPr>
        <w:rFonts w:ascii="Trebuchet MS" w:eastAsia="Times New Roman" w:hAnsi="Trebuchet MS" w:cs="Times New Roman"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1400733B"/>
    <w:multiLevelType w:val="hybridMultilevel"/>
    <w:tmpl w:val="E26C0B7E"/>
    <w:lvl w:ilvl="0" w:tplc="55C86F80">
      <w:start w:val="19"/>
      <w:numFmt w:val="bullet"/>
      <w:lvlText w:val=""/>
      <w:lvlJc w:val="left"/>
      <w:pPr>
        <w:ind w:left="720" w:hanging="360"/>
      </w:pPr>
      <w:rPr>
        <w:rFonts w:ascii="Wingdings" w:eastAsia="Times New Roman" w:hAnsi="Wingdings" w:cs="Times New Roman"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nsid w:val="19267EB1"/>
    <w:multiLevelType w:val="hybridMultilevel"/>
    <w:tmpl w:val="410E1E64"/>
    <w:lvl w:ilvl="0" w:tplc="72E89A6A">
      <w:start w:val="1"/>
      <w:numFmt w:val="bullet"/>
      <w:lvlText w:val="-"/>
      <w:lvlJc w:val="left"/>
      <w:pPr>
        <w:ind w:left="720" w:hanging="360"/>
      </w:pPr>
      <w:rPr>
        <w:rFonts w:ascii="Trebuchet MS" w:eastAsia="Times New Roman" w:hAnsi="Trebuchet MS" w:cs="Times New Roman" w:hint="default"/>
        <w:b w:val="0"/>
        <w:sz w:val="22"/>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nsid w:val="1C285F7C"/>
    <w:multiLevelType w:val="hybridMultilevel"/>
    <w:tmpl w:val="D40A1EC2"/>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nsid w:val="22490B16"/>
    <w:multiLevelType w:val="hybridMultilevel"/>
    <w:tmpl w:val="83BC34F0"/>
    <w:lvl w:ilvl="0" w:tplc="B4BAF36E">
      <w:start w:val="19"/>
      <w:numFmt w:val="bullet"/>
      <w:lvlText w:val=""/>
      <w:lvlJc w:val="left"/>
      <w:pPr>
        <w:ind w:left="720" w:hanging="360"/>
      </w:pPr>
      <w:rPr>
        <w:rFonts w:ascii="Wingdings" w:eastAsia="Times New Roman" w:hAnsi="Wingdings" w:cs="Times New Roman"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nsid w:val="26D62243"/>
    <w:multiLevelType w:val="hybridMultilevel"/>
    <w:tmpl w:val="EB1666BC"/>
    <w:lvl w:ilvl="0" w:tplc="BBDEACCE">
      <w:start w:val="19"/>
      <w:numFmt w:val="bullet"/>
      <w:lvlText w:val=""/>
      <w:lvlJc w:val="left"/>
      <w:pPr>
        <w:ind w:left="720" w:hanging="360"/>
      </w:pPr>
      <w:rPr>
        <w:rFonts w:ascii="Wingdings" w:eastAsia="Times New Roman" w:hAnsi="Wingdings"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nsid w:val="27D60971"/>
    <w:multiLevelType w:val="hybridMultilevel"/>
    <w:tmpl w:val="C4B83AEA"/>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9">
    <w:nsid w:val="2FFF0A5F"/>
    <w:multiLevelType w:val="hybridMultilevel"/>
    <w:tmpl w:val="05A6226C"/>
    <w:lvl w:ilvl="0" w:tplc="0C070001">
      <w:start w:val="1"/>
      <w:numFmt w:val="bullet"/>
      <w:lvlText w:val=""/>
      <w:lvlJc w:val="left"/>
      <w:pPr>
        <w:ind w:left="795" w:hanging="360"/>
      </w:pPr>
      <w:rPr>
        <w:rFonts w:ascii="Symbol" w:hAnsi="Symbol" w:hint="default"/>
      </w:rPr>
    </w:lvl>
    <w:lvl w:ilvl="1" w:tplc="0C070003">
      <w:start w:val="1"/>
      <w:numFmt w:val="bullet"/>
      <w:lvlText w:val="o"/>
      <w:lvlJc w:val="left"/>
      <w:pPr>
        <w:ind w:left="1515" w:hanging="360"/>
      </w:pPr>
      <w:rPr>
        <w:rFonts w:ascii="Courier New" w:hAnsi="Courier New" w:cs="Courier New" w:hint="default"/>
      </w:rPr>
    </w:lvl>
    <w:lvl w:ilvl="2" w:tplc="0C070005">
      <w:start w:val="1"/>
      <w:numFmt w:val="bullet"/>
      <w:lvlText w:val=""/>
      <w:lvlJc w:val="left"/>
      <w:pPr>
        <w:ind w:left="2235" w:hanging="360"/>
      </w:pPr>
      <w:rPr>
        <w:rFonts w:ascii="Wingdings" w:hAnsi="Wingdings" w:hint="default"/>
      </w:rPr>
    </w:lvl>
    <w:lvl w:ilvl="3" w:tplc="0C070001">
      <w:start w:val="1"/>
      <w:numFmt w:val="bullet"/>
      <w:lvlText w:val=""/>
      <w:lvlJc w:val="left"/>
      <w:pPr>
        <w:ind w:left="2955" w:hanging="360"/>
      </w:pPr>
      <w:rPr>
        <w:rFonts w:ascii="Symbol" w:hAnsi="Symbol" w:hint="default"/>
      </w:rPr>
    </w:lvl>
    <w:lvl w:ilvl="4" w:tplc="0C070003">
      <w:start w:val="1"/>
      <w:numFmt w:val="bullet"/>
      <w:lvlText w:val="o"/>
      <w:lvlJc w:val="left"/>
      <w:pPr>
        <w:ind w:left="3675" w:hanging="360"/>
      </w:pPr>
      <w:rPr>
        <w:rFonts w:ascii="Courier New" w:hAnsi="Courier New" w:cs="Courier New" w:hint="default"/>
      </w:rPr>
    </w:lvl>
    <w:lvl w:ilvl="5" w:tplc="0C070005">
      <w:start w:val="1"/>
      <w:numFmt w:val="bullet"/>
      <w:lvlText w:val=""/>
      <w:lvlJc w:val="left"/>
      <w:pPr>
        <w:ind w:left="4395" w:hanging="360"/>
      </w:pPr>
      <w:rPr>
        <w:rFonts w:ascii="Wingdings" w:hAnsi="Wingdings" w:hint="default"/>
      </w:rPr>
    </w:lvl>
    <w:lvl w:ilvl="6" w:tplc="0C070001">
      <w:start w:val="1"/>
      <w:numFmt w:val="bullet"/>
      <w:lvlText w:val=""/>
      <w:lvlJc w:val="left"/>
      <w:pPr>
        <w:ind w:left="5115" w:hanging="360"/>
      </w:pPr>
      <w:rPr>
        <w:rFonts w:ascii="Symbol" w:hAnsi="Symbol" w:hint="default"/>
      </w:rPr>
    </w:lvl>
    <w:lvl w:ilvl="7" w:tplc="0C070003">
      <w:start w:val="1"/>
      <w:numFmt w:val="bullet"/>
      <w:lvlText w:val="o"/>
      <w:lvlJc w:val="left"/>
      <w:pPr>
        <w:ind w:left="5835" w:hanging="360"/>
      </w:pPr>
      <w:rPr>
        <w:rFonts w:ascii="Courier New" w:hAnsi="Courier New" w:cs="Courier New" w:hint="default"/>
      </w:rPr>
    </w:lvl>
    <w:lvl w:ilvl="8" w:tplc="0C070005">
      <w:start w:val="1"/>
      <w:numFmt w:val="bullet"/>
      <w:lvlText w:val=""/>
      <w:lvlJc w:val="left"/>
      <w:pPr>
        <w:ind w:left="6555" w:hanging="360"/>
      </w:pPr>
      <w:rPr>
        <w:rFonts w:ascii="Wingdings" w:hAnsi="Wingdings" w:hint="default"/>
      </w:rPr>
    </w:lvl>
  </w:abstractNum>
  <w:abstractNum w:abstractNumId="10">
    <w:nsid w:val="42D11EDD"/>
    <w:multiLevelType w:val="hybridMultilevel"/>
    <w:tmpl w:val="4620B2EE"/>
    <w:lvl w:ilvl="0" w:tplc="F04AF9E4">
      <w:start w:val="1"/>
      <w:numFmt w:val="bullet"/>
      <w:lvlText w:val="-"/>
      <w:lvlJc w:val="left"/>
      <w:pPr>
        <w:ind w:left="720" w:hanging="360"/>
      </w:pPr>
      <w:rPr>
        <w:rFonts w:ascii="Trebuchet MS" w:eastAsia="Times New Roman" w:hAnsi="Trebuchet MS"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nsid w:val="4DB37E61"/>
    <w:multiLevelType w:val="hybridMultilevel"/>
    <w:tmpl w:val="1DC2F452"/>
    <w:lvl w:ilvl="0" w:tplc="73503974">
      <w:start w:val="1"/>
      <w:numFmt w:val="decimal"/>
      <w:lvlText w:val="%1."/>
      <w:lvlJc w:val="left"/>
      <w:pPr>
        <w:ind w:left="720" w:hanging="360"/>
      </w:pPr>
      <w:rPr>
        <w:rFonts w:hint="default"/>
        <w:sz w:val="22"/>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
    <w:nsid w:val="58B44BE8"/>
    <w:multiLevelType w:val="hybridMultilevel"/>
    <w:tmpl w:val="EDAA3894"/>
    <w:lvl w:ilvl="0" w:tplc="DC240B38">
      <w:start w:val="19"/>
      <w:numFmt w:val="bullet"/>
      <w:lvlText w:val="-"/>
      <w:lvlJc w:val="left"/>
      <w:pPr>
        <w:ind w:left="720" w:hanging="360"/>
      </w:pPr>
      <w:rPr>
        <w:rFonts w:ascii="Trebuchet MS" w:eastAsia="Times New Roman" w:hAnsi="Trebuchet MS" w:cs="Times New Roman" w:hint="default"/>
      </w:rPr>
    </w:lvl>
    <w:lvl w:ilvl="1" w:tplc="0C070003">
      <w:start w:val="1"/>
      <w:numFmt w:val="bullet"/>
      <w:lvlText w:val="o"/>
      <w:lvlJc w:val="left"/>
      <w:pPr>
        <w:ind w:left="1440" w:hanging="360"/>
      </w:pPr>
      <w:rPr>
        <w:rFonts w:ascii="Courier New" w:hAnsi="Courier New" w:cs="Courier New" w:hint="default"/>
      </w:rPr>
    </w:lvl>
    <w:lvl w:ilvl="2" w:tplc="062AEF56">
      <w:start w:val="5"/>
      <w:numFmt w:val="bullet"/>
      <w:lvlText w:val=""/>
      <w:lvlJc w:val="left"/>
      <w:pPr>
        <w:ind w:left="2160" w:hanging="360"/>
      </w:pPr>
      <w:rPr>
        <w:rFonts w:ascii="Wingdings" w:eastAsia="Times New Roman" w:hAnsi="Wingdings" w:cs="Times New Roman"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nsid w:val="77C4654D"/>
    <w:multiLevelType w:val="hybridMultilevel"/>
    <w:tmpl w:val="E87EA962"/>
    <w:lvl w:ilvl="0" w:tplc="0C07000F">
      <w:start w:val="1"/>
      <w:numFmt w:val="decimal"/>
      <w:lvlText w:val="%1."/>
      <w:lvlJc w:val="left"/>
      <w:pPr>
        <w:ind w:left="1068" w:hanging="360"/>
      </w:pPr>
      <w:rPr>
        <w:rFonts w:hint="default"/>
      </w:rPr>
    </w:lvl>
    <w:lvl w:ilvl="1" w:tplc="0C070019" w:tentative="1">
      <w:start w:val="1"/>
      <w:numFmt w:val="lowerLetter"/>
      <w:lvlText w:val="%2."/>
      <w:lvlJc w:val="left"/>
      <w:pPr>
        <w:ind w:left="1788" w:hanging="360"/>
      </w:pPr>
    </w:lvl>
    <w:lvl w:ilvl="2" w:tplc="0C07001B" w:tentative="1">
      <w:start w:val="1"/>
      <w:numFmt w:val="lowerRoman"/>
      <w:lvlText w:val="%3."/>
      <w:lvlJc w:val="right"/>
      <w:pPr>
        <w:ind w:left="2508" w:hanging="180"/>
      </w:pPr>
    </w:lvl>
    <w:lvl w:ilvl="3" w:tplc="0C07000F" w:tentative="1">
      <w:start w:val="1"/>
      <w:numFmt w:val="decimal"/>
      <w:lvlText w:val="%4."/>
      <w:lvlJc w:val="left"/>
      <w:pPr>
        <w:ind w:left="3228" w:hanging="360"/>
      </w:pPr>
    </w:lvl>
    <w:lvl w:ilvl="4" w:tplc="0C070019" w:tentative="1">
      <w:start w:val="1"/>
      <w:numFmt w:val="lowerLetter"/>
      <w:lvlText w:val="%5."/>
      <w:lvlJc w:val="left"/>
      <w:pPr>
        <w:ind w:left="3948" w:hanging="360"/>
      </w:pPr>
    </w:lvl>
    <w:lvl w:ilvl="5" w:tplc="0C07001B" w:tentative="1">
      <w:start w:val="1"/>
      <w:numFmt w:val="lowerRoman"/>
      <w:lvlText w:val="%6."/>
      <w:lvlJc w:val="right"/>
      <w:pPr>
        <w:ind w:left="4668" w:hanging="180"/>
      </w:pPr>
    </w:lvl>
    <w:lvl w:ilvl="6" w:tplc="0C07000F" w:tentative="1">
      <w:start w:val="1"/>
      <w:numFmt w:val="decimal"/>
      <w:lvlText w:val="%7."/>
      <w:lvlJc w:val="left"/>
      <w:pPr>
        <w:ind w:left="5388" w:hanging="360"/>
      </w:pPr>
    </w:lvl>
    <w:lvl w:ilvl="7" w:tplc="0C070019" w:tentative="1">
      <w:start w:val="1"/>
      <w:numFmt w:val="lowerLetter"/>
      <w:lvlText w:val="%8."/>
      <w:lvlJc w:val="left"/>
      <w:pPr>
        <w:ind w:left="6108" w:hanging="360"/>
      </w:pPr>
    </w:lvl>
    <w:lvl w:ilvl="8" w:tplc="0C07001B" w:tentative="1">
      <w:start w:val="1"/>
      <w:numFmt w:val="lowerRoman"/>
      <w:lvlText w:val="%9."/>
      <w:lvlJc w:val="right"/>
      <w:pPr>
        <w:ind w:left="6828" w:hanging="180"/>
      </w:pPr>
    </w:lvl>
  </w:abstractNum>
  <w:num w:numId="1">
    <w:abstractNumId w:val="5"/>
  </w:num>
  <w:num w:numId="2">
    <w:abstractNumId w:val="6"/>
  </w:num>
  <w:num w:numId="3">
    <w:abstractNumId w:val="2"/>
  </w:num>
  <w:num w:numId="4">
    <w:abstractNumId w:val="3"/>
  </w:num>
  <w:num w:numId="5">
    <w:abstractNumId w:val="13"/>
  </w:num>
  <w:num w:numId="6">
    <w:abstractNumId w:val="7"/>
  </w:num>
  <w:num w:numId="7">
    <w:abstractNumId w:val="12"/>
  </w:num>
  <w:num w:numId="8">
    <w:abstractNumId w:val="11"/>
  </w:num>
  <w:num w:numId="9">
    <w:abstractNumId w:val="10"/>
  </w:num>
  <w:num w:numId="10">
    <w:abstractNumId w:val="8"/>
  </w:num>
  <w:num w:numId="11">
    <w:abstractNumId w:val="4"/>
  </w:num>
  <w:num w:numId="12">
    <w:abstractNumId w:val="1"/>
  </w:num>
  <w:num w:numId="13">
    <w:abstractNumId w:val="9"/>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4290"/>
    <w:rsid w:val="00001251"/>
    <w:rsid w:val="00001355"/>
    <w:rsid w:val="00002B57"/>
    <w:rsid w:val="00002CAE"/>
    <w:rsid w:val="000046EA"/>
    <w:rsid w:val="00005BE7"/>
    <w:rsid w:val="0000713F"/>
    <w:rsid w:val="00007163"/>
    <w:rsid w:val="000127DB"/>
    <w:rsid w:val="000127E2"/>
    <w:rsid w:val="00012D1A"/>
    <w:rsid w:val="0001461C"/>
    <w:rsid w:val="000148D0"/>
    <w:rsid w:val="00015E8B"/>
    <w:rsid w:val="00016D43"/>
    <w:rsid w:val="000175B4"/>
    <w:rsid w:val="00020754"/>
    <w:rsid w:val="00022AB3"/>
    <w:rsid w:val="00022FAF"/>
    <w:rsid w:val="00023534"/>
    <w:rsid w:val="0002485F"/>
    <w:rsid w:val="0002664C"/>
    <w:rsid w:val="000309BA"/>
    <w:rsid w:val="00031D55"/>
    <w:rsid w:val="00034D36"/>
    <w:rsid w:val="0003524C"/>
    <w:rsid w:val="00035AAC"/>
    <w:rsid w:val="00036E98"/>
    <w:rsid w:val="0003719F"/>
    <w:rsid w:val="00041E2C"/>
    <w:rsid w:val="00043330"/>
    <w:rsid w:val="000471CA"/>
    <w:rsid w:val="000477D9"/>
    <w:rsid w:val="00052082"/>
    <w:rsid w:val="00052886"/>
    <w:rsid w:val="0005348E"/>
    <w:rsid w:val="00055B1B"/>
    <w:rsid w:val="00056A83"/>
    <w:rsid w:val="000608E2"/>
    <w:rsid w:val="00062E52"/>
    <w:rsid w:val="00062FB9"/>
    <w:rsid w:val="000641B8"/>
    <w:rsid w:val="00067EB4"/>
    <w:rsid w:val="00071001"/>
    <w:rsid w:val="00073D28"/>
    <w:rsid w:val="00074C50"/>
    <w:rsid w:val="00075857"/>
    <w:rsid w:val="00075BAB"/>
    <w:rsid w:val="0007659A"/>
    <w:rsid w:val="00077583"/>
    <w:rsid w:val="000807DE"/>
    <w:rsid w:val="00081D88"/>
    <w:rsid w:val="00082C8C"/>
    <w:rsid w:val="00083365"/>
    <w:rsid w:val="0008344F"/>
    <w:rsid w:val="00093FBB"/>
    <w:rsid w:val="00094EAE"/>
    <w:rsid w:val="00096067"/>
    <w:rsid w:val="00097404"/>
    <w:rsid w:val="00097987"/>
    <w:rsid w:val="000A273D"/>
    <w:rsid w:val="000A71B3"/>
    <w:rsid w:val="000A71EA"/>
    <w:rsid w:val="000A7E9A"/>
    <w:rsid w:val="000B0DEE"/>
    <w:rsid w:val="000B29B8"/>
    <w:rsid w:val="000B5D9C"/>
    <w:rsid w:val="000B5DC0"/>
    <w:rsid w:val="000B771C"/>
    <w:rsid w:val="000B7855"/>
    <w:rsid w:val="000C385F"/>
    <w:rsid w:val="000C386A"/>
    <w:rsid w:val="000C4EA0"/>
    <w:rsid w:val="000D3F45"/>
    <w:rsid w:val="000D4A32"/>
    <w:rsid w:val="000D51E7"/>
    <w:rsid w:val="000D607B"/>
    <w:rsid w:val="000D762B"/>
    <w:rsid w:val="000D7CD2"/>
    <w:rsid w:val="000D7F28"/>
    <w:rsid w:val="000E1BE5"/>
    <w:rsid w:val="000E222F"/>
    <w:rsid w:val="000E4422"/>
    <w:rsid w:val="000E70BC"/>
    <w:rsid w:val="000F1496"/>
    <w:rsid w:val="000F18CA"/>
    <w:rsid w:val="000F3B29"/>
    <w:rsid w:val="000F669A"/>
    <w:rsid w:val="000F69DE"/>
    <w:rsid w:val="000F6A3A"/>
    <w:rsid w:val="00102C32"/>
    <w:rsid w:val="00102E04"/>
    <w:rsid w:val="00102E4F"/>
    <w:rsid w:val="00103E15"/>
    <w:rsid w:val="00104397"/>
    <w:rsid w:val="00106C6F"/>
    <w:rsid w:val="00107EF1"/>
    <w:rsid w:val="00112EB7"/>
    <w:rsid w:val="00113DE5"/>
    <w:rsid w:val="00114B15"/>
    <w:rsid w:val="00114B1B"/>
    <w:rsid w:val="00123FF7"/>
    <w:rsid w:val="001305D6"/>
    <w:rsid w:val="001308D7"/>
    <w:rsid w:val="00130E42"/>
    <w:rsid w:val="0013167A"/>
    <w:rsid w:val="001323B4"/>
    <w:rsid w:val="0013569B"/>
    <w:rsid w:val="00135ED5"/>
    <w:rsid w:val="00137D6A"/>
    <w:rsid w:val="001400D1"/>
    <w:rsid w:val="00141321"/>
    <w:rsid w:val="001420E6"/>
    <w:rsid w:val="0014351A"/>
    <w:rsid w:val="00144194"/>
    <w:rsid w:val="00144EAB"/>
    <w:rsid w:val="001455FF"/>
    <w:rsid w:val="00146BCF"/>
    <w:rsid w:val="00146BDC"/>
    <w:rsid w:val="0014754A"/>
    <w:rsid w:val="00150194"/>
    <w:rsid w:val="00152ECA"/>
    <w:rsid w:val="001606EF"/>
    <w:rsid w:val="00160E58"/>
    <w:rsid w:val="00162B95"/>
    <w:rsid w:val="00162D7C"/>
    <w:rsid w:val="00166D5F"/>
    <w:rsid w:val="0016721B"/>
    <w:rsid w:val="001675EA"/>
    <w:rsid w:val="001740EE"/>
    <w:rsid w:val="0017452C"/>
    <w:rsid w:val="00177060"/>
    <w:rsid w:val="00177B00"/>
    <w:rsid w:val="0018293D"/>
    <w:rsid w:val="00184CE7"/>
    <w:rsid w:val="001867A2"/>
    <w:rsid w:val="00187B25"/>
    <w:rsid w:val="00191CAD"/>
    <w:rsid w:val="00193291"/>
    <w:rsid w:val="00193FBA"/>
    <w:rsid w:val="00194D01"/>
    <w:rsid w:val="00197861"/>
    <w:rsid w:val="001A04D8"/>
    <w:rsid w:val="001A1F7F"/>
    <w:rsid w:val="001A5486"/>
    <w:rsid w:val="001A7885"/>
    <w:rsid w:val="001B0A21"/>
    <w:rsid w:val="001B19A1"/>
    <w:rsid w:val="001B3385"/>
    <w:rsid w:val="001B5264"/>
    <w:rsid w:val="001B59A8"/>
    <w:rsid w:val="001C524E"/>
    <w:rsid w:val="001C5380"/>
    <w:rsid w:val="001C60A9"/>
    <w:rsid w:val="001D535A"/>
    <w:rsid w:val="001D71BB"/>
    <w:rsid w:val="001E15B5"/>
    <w:rsid w:val="001E2D12"/>
    <w:rsid w:val="001F25D1"/>
    <w:rsid w:val="001F3D2D"/>
    <w:rsid w:val="001F4375"/>
    <w:rsid w:val="001F7117"/>
    <w:rsid w:val="00200EC8"/>
    <w:rsid w:val="0020107C"/>
    <w:rsid w:val="00207605"/>
    <w:rsid w:val="002101D7"/>
    <w:rsid w:val="00210F36"/>
    <w:rsid w:val="00212F44"/>
    <w:rsid w:val="00213287"/>
    <w:rsid w:val="00214C05"/>
    <w:rsid w:val="0021537C"/>
    <w:rsid w:val="00217BFC"/>
    <w:rsid w:val="00220448"/>
    <w:rsid w:val="00220E0E"/>
    <w:rsid w:val="00221B14"/>
    <w:rsid w:val="00221E83"/>
    <w:rsid w:val="002245BD"/>
    <w:rsid w:val="0022591A"/>
    <w:rsid w:val="00226ADD"/>
    <w:rsid w:val="002272DC"/>
    <w:rsid w:val="0023020C"/>
    <w:rsid w:val="00235FD8"/>
    <w:rsid w:val="00237523"/>
    <w:rsid w:val="00240497"/>
    <w:rsid w:val="00240991"/>
    <w:rsid w:val="0024267B"/>
    <w:rsid w:val="00244751"/>
    <w:rsid w:val="00245329"/>
    <w:rsid w:val="00251DDA"/>
    <w:rsid w:val="00252FB3"/>
    <w:rsid w:val="002535CA"/>
    <w:rsid w:val="00253970"/>
    <w:rsid w:val="0025428C"/>
    <w:rsid w:val="002604B5"/>
    <w:rsid w:val="00261C4B"/>
    <w:rsid w:val="00263FEF"/>
    <w:rsid w:val="00266601"/>
    <w:rsid w:val="00271AEC"/>
    <w:rsid w:val="00271D63"/>
    <w:rsid w:val="00273F30"/>
    <w:rsid w:val="0027561E"/>
    <w:rsid w:val="00275CB6"/>
    <w:rsid w:val="00276BB3"/>
    <w:rsid w:val="00277E56"/>
    <w:rsid w:val="00281A9A"/>
    <w:rsid w:val="00282348"/>
    <w:rsid w:val="00283BF5"/>
    <w:rsid w:val="00284134"/>
    <w:rsid w:val="00290146"/>
    <w:rsid w:val="00291564"/>
    <w:rsid w:val="002971D3"/>
    <w:rsid w:val="002A2E36"/>
    <w:rsid w:val="002A62A1"/>
    <w:rsid w:val="002A6A53"/>
    <w:rsid w:val="002A7954"/>
    <w:rsid w:val="002B0766"/>
    <w:rsid w:val="002B336B"/>
    <w:rsid w:val="002B34D1"/>
    <w:rsid w:val="002B4F04"/>
    <w:rsid w:val="002B6FD3"/>
    <w:rsid w:val="002C118E"/>
    <w:rsid w:val="002C33A7"/>
    <w:rsid w:val="002C485B"/>
    <w:rsid w:val="002C6703"/>
    <w:rsid w:val="002C7057"/>
    <w:rsid w:val="002C7C00"/>
    <w:rsid w:val="002D1E1D"/>
    <w:rsid w:val="002D4063"/>
    <w:rsid w:val="002D4934"/>
    <w:rsid w:val="002D6904"/>
    <w:rsid w:val="002E1DE8"/>
    <w:rsid w:val="002E2C26"/>
    <w:rsid w:val="002E35D4"/>
    <w:rsid w:val="002E3E2C"/>
    <w:rsid w:val="002E40B7"/>
    <w:rsid w:val="002E5C11"/>
    <w:rsid w:val="002E64FF"/>
    <w:rsid w:val="002E6846"/>
    <w:rsid w:val="002E6E1D"/>
    <w:rsid w:val="002E6F23"/>
    <w:rsid w:val="002F474A"/>
    <w:rsid w:val="002F4999"/>
    <w:rsid w:val="002F4D89"/>
    <w:rsid w:val="002F741D"/>
    <w:rsid w:val="002F74FF"/>
    <w:rsid w:val="00300109"/>
    <w:rsid w:val="00301704"/>
    <w:rsid w:val="00302959"/>
    <w:rsid w:val="00305F2E"/>
    <w:rsid w:val="00310AA0"/>
    <w:rsid w:val="0031387C"/>
    <w:rsid w:val="00313ABB"/>
    <w:rsid w:val="00317E06"/>
    <w:rsid w:val="0032563C"/>
    <w:rsid w:val="003258AF"/>
    <w:rsid w:val="003264BD"/>
    <w:rsid w:val="00326AD7"/>
    <w:rsid w:val="003304D9"/>
    <w:rsid w:val="00331C9B"/>
    <w:rsid w:val="00333205"/>
    <w:rsid w:val="00333A19"/>
    <w:rsid w:val="00334EA8"/>
    <w:rsid w:val="003351AC"/>
    <w:rsid w:val="003366D5"/>
    <w:rsid w:val="003379F7"/>
    <w:rsid w:val="003409A2"/>
    <w:rsid w:val="00340CED"/>
    <w:rsid w:val="003436F8"/>
    <w:rsid w:val="00347509"/>
    <w:rsid w:val="0035032C"/>
    <w:rsid w:val="00350843"/>
    <w:rsid w:val="00350E15"/>
    <w:rsid w:val="003526BE"/>
    <w:rsid w:val="003527FF"/>
    <w:rsid w:val="00353145"/>
    <w:rsid w:val="003537C1"/>
    <w:rsid w:val="0035383F"/>
    <w:rsid w:val="00354C4C"/>
    <w:rsid w:val="00354C94"/>
    <w:rsid w:val="00354CE6"/>
    <w:rsid w:val="00356823"/>
    <w:rsid w:val="00360F07"/>
    <w:rsid w:val="003659AC"/>
    <w:rsid w:val="00365A06"/>
    <w:rsid w:val="0036697B"/>
    <w:rsid w:val="00366986"/>
    <w:rsid w:val="0036722E"/>
    <w:rsid w:val="003701E9"/>
    <w:rsid w:val="00370928"/>
    <w:rsid w:val="00370AE4"/>
    <w:rsid w:val="003742C7"/>
    <w:rsid w:val="00374928"/>
    <w:rsid w:val="0037643C"/>
    <w:rsid w:val="00376805"/>
    <w:rsid w:val="00382B0A"/>
    <w:rsid w:val="00382B83"/>
    <w:rsid w:val="00384908"/>
    <w:rsid w:val="00385222"/>
    <w:rsid w:val="003925AD"/>
    <w:rsid w:val="00394A56"/>
    <w:rsid w:val="00394D96"/>
    <w:rsid w:val="00397C4F"/>
    <w:rsid w:val="003A0AA0"/>
    <w:rsid w:val="003A446A"/>
    <w:rsid w:val="003A4623"/>
    <w:rsid w:val="003A62DB"/>
    <w:rsid w:val="003B0565"/>
    <w:rsid w:val="003B637D"/>
    <w:rsid w:val="003C0DE7"/>
    <w:rsid w:val="003C7BD4"/>
    <w:rsid w:val="003C7D99"/>
    <w:rsid w:val="003D1A2B"/>
    <w:rsid w:val="003D3A2E"/>
    <w:rsid w:val="003D621A"/>
    <w:rsid w:val="003D70C4"/>
    <w:rsid w:val="003D7AD3"/>
    <w:rsid w:val="003E0850"/>
    <w:rsid w:val="003E0F51"/>
    <w:rsid w:val="003E3102"/>
    <w:rsid w:val="003E4A5E"/>
    <w:rsid w:val="003E5966"/>
    <w:rsid w:val="003F0889"/>
    <w:rsid w:val="003F1CD9"/>
    <w:rsid w:val="003F3096"/>
    <w:rsid w:val="003F3C31"/>
    <w:rsid w:val="003F3F34"/>
    <w:rsid w:val="003F4290"/>
    <w:rsid w:val="003F67FE"/>
    <w:rsid w:val="003F6A7A"/>
    <w:rsid w:val="003F6C84"/>
    <w:rsid w:val="003F7268"/>
    <w:rsid w:val="003F72E9"/>
    <w:rsid w:val="003F792D"/>
    <w:rsid w:val="004012A4"/>
    <w:rsid w:val="0040157C"/>
    <w:rsid w:val="004021B7"/>
    <w:rsid w:val="00402C99"/>
    <w:rsid w:val="004056CE"/>
    <w:rsid w:val="00406F92"/>
    <w:rsid w:val="004103BF"/>
    <w:rsid w:val="00410992"/>
    <w:rsid w:val="00411545"/>
    <w:rsid w:val="00411B54"/>
    <w:rsid w:val="00412DED"/>
    <w:rsid w:val="00415455"/>
    <w:rsid w:val="00425958"/>
    <w:rsid w:val="004270E2"/>
    <w:rsid w:val="004307D5"/>
    <w:rsid w:val="00431407"/>
    <w:rsid w:val="00431B51"/>
    <w:rsid w:val="0043216A"/>
    <w:rsid w:val="004334F2"/>
    <w:rsid w:val="00433C6F"/>
    <w:rsid w:val="0043531A"/>
    <w:rsid w:val="004353BF"/>
    <w:rsid w:val="004360E1"/>
    <w:rsid w:val="00440456"/>
    <w:rsid w:val="00442A54"/>
    <w:rsid w:val="00444CE4"/>
    <w:rsid w:val="00445D38"/>
    <w:rsid w:val="00446AEB"/>
    <w:rsid w:val="00446BE3"/>
    <w:rsid w:val="004476BB"/>
    <w:rsid w:val="00450DC1"/>
    <w:rsid w:val="00451351"/>
    <w:rsid w:val="00452538"/>
    <w:rsid w:val="00452640"/>
    <w:rsid w:val="00452FA3"/>
    <w:rsid w:val="004541F6"/>
    <w:rsid w:val="004547D2"/>
    <w:rsid w:val="00454F8D"/>
    <w:rsid w:val="004550A6"/>
    <w:rsid w:val="00455686"/>
    <w:rsid w:val="00455FAB"/>
    <w:rsid w:val="00456C9D"/>
    <w:rsid w:val="0046131D"/>
    <w:rsid w:val="004622AB"/>
    <w:rsid w:val="004632CF"/>
    <w:rsid w:val="00463379"/>
    <w:rsid w:val="00467649"/>
    <w:rsid w:val="00467B86"/>
    <w:rsid w:val="00470A23"/>
    <w:rsid w:val="00471400"/>
    <w:rsid w:val="004716B5"/>
    <w:rsid w:val="00475612"/>
    <w:rsid w:val="00476159"/>
    <w:rsid w:val="00477A32"/>
    <w:rsid w:val="004801D5"/>
    <w:rsid w:val="00480389"/>
    <w:rsid w:val="00480E14"/>
    <w:rsid w:val="00482ED1"/>
    <w:rsid w:val="00484B00"/>
    <w:rsid w:val="00485774"/>
    <w:rsid w:val="00490D56"/>
    <w:rsid w:val="0049307C"/>
    <w:rsid w:val="004934F5"/>
    <w:rsid w:val="00496283"/>
    <w:rsid w:val="00496ED7"/>
    <w:rsid w:val="004A0C5F"/>
    <w:rsid w:val="004A1576"/>
    <w:rsid w:val="004A2074"/>
    <w:rsid w:val="004A2AF6"/>
    <w:rsid w:val="004A5CBE"/>
    <w:rsid w:val="004B0321"/>
    <w:rsid w:val="004B1773"/>
    <w:rsid w:val="004B2821"/>
    <w:rsid w:val="004B501F"/>
    <w:rsid w:val="004C1B9D"/>
    <w:rsid w:val="004C3F4E"/>
    <w:rsid w:val="004C55E9"/>
    <w:rsid w:val="004C5BD9"/>
    <w:rsid w:val="004D0B26"/>
    <w:rsid w:val="004D0CE6"/>
    <w:rsid w:val="004D0F79"/>
    <w:rsid w:val="004D27A2"/>
    <w:rsid w:val="004D2E37"/>
    <w:rsid w:val="004D5B87"/>
    <w:rsid w:val="004E071C"/>
    <w:rsid w:val="004E4174"/>
    <w:rsid w:val="004E5468"/>
    <w:rsid w:val="004E5599"/>
    <w:rsid w:val="004E5A00"/>
    <w:rsid w:val="004E635E"/>
    <w:rsid w:val="004E6835"/>
    <w:rsid w:val="004F23C4"/>
    <w:rsid w:val="004F2A8C"/>
    <w:rsid w:val="004F485B"/>
    <w:rsid w:val="00500106"/>
    <w:rsid w:val="00500DD8"/>
    <w:rsid w:val="00501F79"/>
    <w:rsid w:val="00502AC7"/>
    <w:rsid w:val="00503612"/>
    <w:rsid w:val="00504B4A"/>
    <w:rsid w:val="005059FF"/>
    <w:rsid w:val="005073AE"/>
    <w:rsid w:val="005123DA"/>
    <w:rsid w:val="00512C0D"/>
    <w:rsid w:val="005133C6"/>
    <w:rsid w:val="005139AD"/>
    <w:rsid w:val="005154D9"/>
    <w:rsid w:val="005174CF"/>
    <w:rsid w:val="0051764C"/>
    <w:rsid w:val="00521C97"/>
    <w:rsid w:val="00523949"/>
    <w:rsid w:val="005246B6"/>
    <w:rsid w:val="00524E8F"/>
    <w:rsid w:val="00525A57"/>
    <w:rsid w:val="00525B98"/>
    <w:rsid w:val="00527B54"/>
    <w:rsid w:val="00531490"/>
    <w:rsid w:val="0053174D"/>
    <w:rsid w:val="005368E2"/>
    <w:rsid w:val="005370D9"/>
    <w:rsid w:val="005421EF"/>
    <w:rsid w:val="00543BD7"/>
    <w:rsid w:val="005449B7"/>
    <w:rsid w:val="005464E0"/>
    <w:rsid w:val="005465DC"/>
    <w:rsid w:val="00546D4D"/>
    <w:rsid w:val="0054762C"/>
    <w:rsid w:val="00547A59"/>
    <w:rsid w:val="00547B7B"/>
    <w:rsid w:val="005501F5"/>
    <w:rsid w:val="00551E24"/>
    <w:rsid w:val="005534B9"/>
    <w:rsid w:val="00557C74"/>
    <w:rsid w:val="0056210C"/>
    <w:rsid w:val="005625A7"/>
    <w:rsid w:val="00562C55"/>
    <w:rsid w:val="00566011"/>
    <w:rsid w:val="00566D35"/>
    <w:rsid w:val="0057067A"/>
    <w:rsid w:val="005709DF"/>
    <w:rsid w:val="00571D28"/>
    <w:rsid w:val="0057286F"/>
    <w:rsid w:val="00574079"/>
    <w:rsid w:val="005749AD"/>
    <w:rsid w:val="00575AFA"/>
    <w:rsid w:val="005769E6"/>
    <w:rsid w:val="005773B8"/>
    <w:rsid w:val="00581290"/>
    <w:rsid w:val="005812AD"/>
    <w:rsid w:val="005829CA"/>
    <w:rsid w:val="00584718"/>
    <w:rsid w:val="005860D2"/>
    <w:rsid w:val="00587310"/>
    <w:rsid w:val="005916B8"/>
    <w:rsid w:val="00593E1A"/>
    <w:rsid w:val="0059506D"/>
    <w:rsid w:val="0059570D"/>
    <w:rsid w:val="005965CF"/>
    <w:rsid w:val="00596D89"/>
    <w:rsid w:val="005A18BD"/>
    <w:rsid w:val="005A1FAF"/>
    <w:rsid w:val="005A2079"/>
    <w:rsid w:val="005A42C6"/>
    <w:rsid w:val="005A495A"/>
    <w:rsid w:val="005A4EC6"/>
    <w:rsid w:val="005A70FB"/>
    <w:rsid w:val="005A7BBE"/>
    <w:rsid w:val="005A7E33"/>
    <w:rsid w:val="005B00D9"/>
    <w:rsid w:val="005B13A1"/>
    <w:rsid w:val="005B5C67"/>
    <w:rsid w:val="005B607B"/>
    <w:rsid w:val="005B7474"/>
    <w:rsid w:val="005B7B2B"/>
    <w:rsid w:val="005C12D6"/>
    <w:rsid w:val="005C3AAE"/>
    <w:rsid w:val="005C5376"/>
    <w:rsid w:val="005C61DD"/>
    <w:rsid w:val="005D0BA5"/>
    <w:rsid w:val="005D282D"/>
    <w:rsid w:val="005D3518"/>
    <w:rsid w:val="005D3BF4"/>
    <w:rsid w:val="005D5203"/>
    <w:rsid w:val="005D6B25"/>
    <w:rsid w:val="005D714A"/>
    <w:rsid w:val="005D75B3"/>
    <w:rsid w:val="005D7FBC"/>
    <w:rsid w:val="005E1EE3"/>
    <w:rsid w:val="005E22DF"/>
    <w:rsid w:val="005E25ED"/>
    <w:rsid w:val="005E54E9"/>
    <w:rsid w:val="005E5BA3"/>
    <w:rsid w:val="005F4348"/>
    <w:rsid w:val="005F50C7"/>
    <w:rsid w:val="005F6829"/>
    <w:rsid w:val="005F68B8"/>
    <w:rsid w:val="005F70E1"/>
    <w:rsid w:val="005F7C80"/>
    <w:rsid w:val="0060044F"/>
    <w:rsid w:val="006025EE"/>
    <w:rsid w:val="00603431"/>
    <w:rsid w:val="00604448"/>
    <w:rsid w:val="0060498F"/>
    <w:rsid w:val="00604E5A"/>
    <w:rsid w:val="006059B7"/>
    <w:rsid w:val="00606040"/>
    <w:rsid w:val="006064AF"/>
    <w:rsid w:val="00607C58"/>
    <w:rsid w:val="006107E6"/>
    <w:rsid w:val="00612BC7"/>
    <w:rsid w:val="0061789D"/>
    <w:rsid w:val="00617DBA"/>
    <w:rsid w:val="006228D9"/>
    <w:rsid w:val="00622FA1"/>
    <w:rsid w:val="00623908"/>
    <w:rsid w:val="0062390D"/>
    <w:rsid w:val="00624CC7"/>
    <w:rsid w:val="00626C2B"/>
    <w:rsid w:val="00631FED"/>
    <w:rsid w:val="006327CF"/>
    <w:rsid w:val="006345F0"/>
    <w:rsid w:val="0063498C"/>
    <w:rsid w:val="0063522F"/>
    <w:rsid w:val="00636AEE"/>
    <w:rsid w:val="00640476"/>
    <w:rsid w:val="006413AF"/>
    <w:rsid w:val="00641998"/>
    <w:rsid w:val="00644BEC"/>
    <w:rsid w:val="0064663B"/>
    <w:rsid w:val="00647686"/>
    <w:rsid w:val="00647D04"/>
    <w:rsid w:val="00654F67"/>
    <w:rsid w:val="00656234"/>
    <w:rsid w:val="006573BB"/>
    <w:rsid w:val="00661296"/>
    <w:rsid w:val="0066391E"/>
    <w:rsid w:val="00665515"/>
    <w:rsid w:val="006670C4"/>
    <w:rsid w:val="00667712"/>
    <w:rsid w:val="006745BC"/>
    <w:rsid w:val="0068002C"/>
    <w:rsid w:val="0068003D"/>
    <w:rsid w:val="00680CF3"/>
    <w:rsid w:val="00681E0D"/>
    <w:rsid w:val="00683CA4"/>
    <w:rsid w:val="006852FF"/>
    <w:rsid w:val="00685598"/>
    <w:rsid w:val="00686DED"/>
    <w:rsid w:val="00686FCC"/>
    <w:rsid w:val="0069181A"/>
    <w:rsid w:val="00692807"/>
    <w:rsid w:val="00693C90"/>
    <w:rsid w:val="0069585C"/>
    <w:rsid w:val="0069759C"/>
    <w:rsid w:val="00697B04"/>
    <w:rsid w:val="006A2535"/>
    <w:rsid w:val="006A3195"/>
    <w:rsid w:val="006A346C"/>
    <w:rsid w:val="006A38CA"/>
    <w:rsid w:val="006A4C41"/>
    <w:rsid w:val="006A6171"/>
    <w:rsid w:val="006A7806"/>
    <w:rsid w:val="006A78D2"/>
    <w:rsid w:val="006A7B61"/>
    <w:rsid w:val="006B464D"/>
    <w:rsid w:val="006B4C4B"/>
    <w:rsid w:val="006B5024"/>
    <w:rsid w:val="006B616C"/>
    <w:rsid w:val="006B6930"/>
    <w:rsid w:val="006C1192"/>
    <w:rsid w:val="006C14B8"/>
    <w:rsid w:val="006C37C3"/>
    <w:rsid w:val="006C3CB5"/>
    <w:rsid w:val="006D081D"/>
    <w:rsid w:val="006D1D1A"/>
    <w:rsid w:val="006D279F"/>
    <w:rsid w:val="006D4AC8"/>
    <w:rsid w:val="006D58B7"/>
    <w:rsid w:val="006E0005"/>
    <w:rsid w:val="006E18B7"/>
    <w:rsid w:val="006E2E0E"/>
    <w:rsid w:val="006E336E"/>
    <w:rsid w:val="006E3D05"/>
    <w:rsid w:val="006E5EB7"/>
    <w:rsid w:val="006E62A8"/>
    <w:rsid w:val="006E6699"/>
    <w:rsid w:val="006E6914"/>
    <w:rsid w:val="006F1157"/>
    <w:rsid w:val="006F1E10"/>
    <w:rsid w:val="006F2C6D"/>
    <w:rsid w:val="006F4098"/>
    <w:rsid w:val="006F5293"/>
    <w:rsid w:val="006F5B74"/>
    <w:rsid w:val="007014D9"/>
    <w:rsid w:val="0070211B"/>
    <w:rsid w:val="00702544"/>
    <w:rsid w:val="007027FB"/>
    <w:rsid w:val="00703BB4"/>
    <w:rsid w:val="0070419D"/>
    <w:rsid w:val="007046E8"/>
    <w:rsid w:val="007050C2"/>
    <w:rsid w:val="00705E4A"/>
    <w:rsid w:val="00707D87"/>
    <w:rsid w:val="00711298"/>
    <w:rsid w:val="007138BA"/>
    <w:rsid w:val="00715549"/>
    <w:rsid w:val="00717FB6"/>
    <w:rsid w:val="00720CBD"/>
    <w:rsid w:val="00721B8A"/>
    <w:rsid w:val="007220F1"/>
    <w:rsid w:val="00725245"/>
    <w:rsid w:val="0072551E"/>
    <w:rsid w:val="00726543"/>
    <w:rsid w:val="007273DC"/>
    <w:rsid w:val="00730A0D"/>
    <w:rsid w:val="00731CF5"/>
    <w:rsid w:val="0073203E"/>
    <w:rsid w:val="00733E21"/>
    <w:rsid w:val="007344A7"/>
    <w:rsid w:val="007370B8"/>
    <w:rsid w:val="00737458"/>
    <w:rsid w:val="007376A4"/>
    <w:rsid w:val="00742280"/>
    <w:rsid w:val="00744D1D"/>
    <w:rsid w:val="00744E03"/>
    <w:rsid w:val="00745402"/>
    <w:rsid w:val="00745985"/>
    <w:rsid w:val="00746591"/>
    <w:rsid w:val="007506BF"/>
    <w:rsid w:val="007525A1"/>
    <w:rsid w:val="007535E7"/>
    <w:rsid w:val="00754050"/>
    <w:rsid w:val="00754293"/>
    <w:rsid w:val="00756C7A"/>
    <w:rsid w:val="007572B2"/>
    <w:rsid w:val="00757AEC"/>
    <w:rsid w:val="00757D59"/>
    <w:rsid w:val="00761329"/>
    <w:rsid w:val="007624B1"/>
    <w:rsid w:val="00764C39"/>
    <w:rsid w:val="00765216"/>
    <w:rsid w:val="00765322"/>
    <w:rsid w:val="00766125"/>
    <w:rsid w:val="00767326"/>
    <w:rsid w:val="00767F09"/>
    <w:rsid w:val="00770D59"/>
    <w:rsid w:val="00771354"/>
    <w:rsid w:val="00772BC5"/>
    <w:rsid w:val="00772CFA"/>
    <w:rsid w:val="00773EE0"/>
    <w:rsid w:val="007751CF"/>
    <w:rsid w:val="007766FC"/>
    <w:rsid w:val="00780333"/>
    <w:rsid w:val="007804B6"/>
    <w:rsid w:val="00780F88"/>
    <w:rsid w:val="00782F87"/>
    <w:rsid w:val="00785C85"/>
    <w:rsid w:val="00786DF5"/>
    <w:rsid w:val="00786E45"/>
    <w:rsid w:val="00791ED6"/>
    <w:rsid w:val="007A5C5E"/>
    <w:rsid w:val="007A6524"/>
    <w:rsid w:val="007A7044"/>
    <w:rsid w:val="007A7C38"/>
    <w:rsid w:val="007B234E"/>
    <w:rsid w:val="007B4BB3"/>
    <w:rsid w:val="007B7867"/>
    <w:rsid w:val="007C0666"/>
    <w:rsid w:val="007C084D"/>
    <w:rsid w:val="007C3B37"/>
    <w:rsid w:val="007D472B"/>
    <w:rsid w:val="007D606D"/>
    <w:rsid w:val="007D733A"/>
    <w:rsid w:val="007E0293"/>
    <w:rsid w:val="007E5B6F"/>
    <w:rsid w:val="007F0302"/>
    <w:rsid w:val="007F0DCC"/>
    <w:rsid w:val="007F2258"/>
    <w:rsid w:val="007F3220"/>
    <w:rsid w:val="007F45EE"/>
    <w:rsid w:val="007F47AD"/>
    <w:rsid w:val="007F49C8"/>
    <w:rsid w:val="007F70C0"/>
    <w:rsid w:val="00800528"/>
    <w:rsid w:val="00801C06"/>
    <w:rsid w:val="00802BAC"/>
    <w:rsid w:val="008042C9"/>
    <w:rsid w:val="00804EFF"/>
    <w:rsid w:val="0080602E"/>
    <w:rsid w:val="008074B5"/>
    <w:rsid w:val="00810628"/>
    <w:rsid w:val="0081258F"/>
    <w:rsid w:val="0081259B"/>
    <w:rsid w:val="008128E1"/>
    <w:rsid w:val="00813C58"/>
    <w:rsid w:val="00813D37"/>
    <w:rsid w:val="00822213"/>
    <w:rsid w:val="00822743"/>
    <w:rsid w:val="00824126"/>
    <w:rsid w:val="008243C0"/>
    <w:rsid w:val="00824980"/>
    <w:rsid w:val="00825425"/>
    <w:rsid w:val="00825FD3"/>
    <w:rsid w:val="00826564"/>
    <w:rsid w:val="00831F79"/>
    <w:rsid w:val="00834532"/>
    <w:rsid w:val="00835A38"/>
    <w:rsid w:val="008370E1"/>
    <w:rsid w:val="0083714E"/>
    <w:rsid w:val="008401B3"/>
    <w:rsid w:val="00840DD2"/>
    <w:rsid w:val="00841B66"/>
    <w:rsid w:val="00845E1A"/>
    <w:rsid w:val="008462C7"/>
    <w:rsid w:val="00847EC0"/>
    <w:rsid w:val="00850908"/>
    <w:rsid w:val="00852B1F"/>
    <w:rsid w:val="0085384E"/>
    <w:rsid w:val="0085473E"/>
    <w:rsid w:val="008558F8"/>
    <w:rsid w:val="0085688E"/>
    <w:rsid w:val="008608CE"/>
    <w:rsid w:val="008609B5"/>
    <w:rsid w:val="00861D96"/>
    <w:rsid w:val="00862B87"/>
    <w:rsid w:val="00864321"/>
    <w:rsid w:val="00864BB9"/>
    <w:rsid w:val="00865E27"/>
    <w:rsid w:val="00873CCE"/>
    <w:rsid w:val="00875856"/>
    <w:rsid w:val="00877EC0"/>
    <w:rsid w:val="008831FF"/>
    <w:rsid w:val="00884790"/>
    <w:rsid w:val="0088601F"/>
    <w:rsid w:val="008862DB"/>
    <w:rsid w:val="00886998"/>
    <w:rsid w:val="008872B2"/>
    <w:rsid w:val="008904C9"/>
    <w:rsid w:val="00890F77"/>
    <w:rsid w:val="008911E9"/>
    <w:rsid w:val="008939B2"/>
    <w:rsid w:val="00894CD1"/>
    <w:rsid w:val="00895A5A"/>
    <w:rsid w:val="00897409"/>
    <w:rsid w:val="008A01D5"/>
    <w:rsid w:val="008A0FF8"/>
    <w:rsid w:val="008A24DF"/>
    <w:rsid w:val="008A2D02"/>
    <w:rsid w:val="008A352E"/>
    <w:rsid w:val="008A3FDA"/>
    <w:rsid w:val="008A713B"/>
    <w:rsid w:val="008B1BD8"/>
    <w:rsid w:val="008B24F0"/>
    <w:rsid w:val="008B3B02"/>
    <w:rsid w:val="008B46EE"/>
    <w:rsid w:val="008B7514"/>
    <w:rsid w:val="008C2508"/>
    <w:rsid w:val="008C62EC"/>
    <w:rsid w:val="008D01B9"/>
    <w:rsid w:val="008D074A"/>
    <w:rsid w:val="008D08A5"/>
    <w:rsid w:val="008D41B8"/>
    <w:rsid w:val="008D49E5"/>
    <w:rsid w:val="008D6D1E"/>
    <w:rsid w:val="008E2EA6"/>
    <w:rsid w:val="008E4ECE"/>
    <w:rsid w:val="008E76BF"/>
    <w:rsid w:val="008F0D0C"/>
    <w:rsid w:val="008F0E1F"/>
    <w:rsid w:val="008F2A89"/>
    <w:rsid w:val="008F3C4E"/>
    <w:rsid w:val="008F40A5"/>
    <w:rsid w:val="008F487D"/>
    <w:rsid w:val="008F6619"/>
    <w:rsid w:val="008F7B67"/>
    <w:rsid w:val="008F7BEF"/>
    <w:rsid w:val="00900A9C"/>
    <w:rsid w:val="00904E87"/>
    <w:rsid w:val="00904F04"/>
    <w:rsid w:val="00905D69"/>
    <w:rsid w:val="00906318"/>
    <w:rsid w:val="00911224"/>
    <w:rsid w:val="0091347E"/>
    <w:rsid w:val="009134C2"/>
    <w:rsid w:val="009143B7"/>
    <w:rsid w:val="00916387"/>
    <w:rsid w:val="0091731A"/>
    <w:rsid w:val="00917A7B"/>
    <w:rsid w:val="0092061E"/>
    <w:rsid w:val="009230B2"/>
    <w:rsid w:val="00923CC2"/>
    <w:rsid w:val="00935689"/>
    <w:rsid w:val="00937C24"/>
    <w:rsid w:val="00940B37"/>
    <w:rsid w:val="00940C33"/>
    <w:rsid w:val="0094192D"/>
    <w:rsid w:val="00945205"/>
    <w:rsid w:val="00947228"/>
    <w:rsid w:val="00950724"/>
    <w:rsid w:val="00951D89"/>
    <w:rsid w:val="00952F28"/>
    <w:rsid w:val="00954D18"/>
    <w:rsid w:val="00954E0A"/>
    <w:rsid w:val="00954EFC"/>
    <w:rsid w:val="00956BD3"/>
    <w:rsid w:val="00961552"/>
    <w:rsid w:val="00962EEC"/>
    <w:rsid w:val="00964715"/>
    <w:rsid w:val="00964FFE"/>
    <w:rsid w:val="00965C13"/>
    <w:rsid w:val="00971EEF"/>
    <w:rsid w:val="0097395F"/>
    <w:rsid w:val="00974E88"/>
    <w:rsid w:val="00976333"/>
    <w:rsid w:val="00977A35"/>
    <w:rsid w:val="00982719"/>
    <w:rsid w:val="00982C62"/>
    <w:rsid w:val="00982DB4"/>
    <w:rsid w:val="009842EC"/>
    <w:rsid w:val="0098580D"/>
    <w:rsid w:val="00987B4E"/>
    <w:rsid w:val="00990658"/>
    <w:rsid w:val="0099106D"/>
    <w:rsid w:val="00993AAF"/>
    <w:rsid w:val="00994107"/>
    <w:rsid w:val="00995146"/>
    <w:rsid w:val="009A0277"/>
    <w:rsid w:val="009A3FE0"/>
    <w:rsid w:val="009A4A3D"/>
    <w:rsid w:val="009A5B31"/>
    <w:rsid w:val="009A5F96"/>
    <w:rsid w:val="009A789A"/>
    <w:rsid w:val="009B14CE"/>
    <w:rsid w:val="009B2814"/>
    <w:rsid w:val="009B2BB8"/>
    <w:rsid w:val="009B5B14"/>
    <w:rsid w:val="009B5FB4"/>
    <w:rsid w:val="009B6705"/>
    <w:rsid w:val="009B7B69"/>
    <w:rsid w:val="009C47BA"/>
    <w:rsid w:val="009C58B4"/>
    <w:rsid w:val="009C6C75"/>
    <w:rsid w:val="009D3697"/>
    <w:rsid w:val="009D41A2"/>
    <w:rsid w:val="009D6188"/>
    <w:rsid w:val="009D63DC"/>
    <w:rsid w:val="009D778D"/>
    <w:rsid w:val="009D78CE"/>
    <w:rsid w:val="009D78DF"/>
    <w:rsid w:val="009D7938"/>
    <w:rsid w:val="009D7A3E"/>
    <w:rsid w:val="009E064D"/>
    <w:rsid w:val="009E09CE"/>
    <w:rsid w:val="009E226C"/>
    <w:rsid w:val="009E3212"/>
    <w:rsid w:val="009E40F9"/>
    <w:rsid w:val="009E6A4D"/>
    <w:rsid w:val="009E7121"/>
    <w:rsid w:val="009E753F"/>
    <w:rsid w:val="009E75D0"/>
    <w:rsid w:val="009F09F1"/>
    <w:rsid w:val="009F32D1"/>
    <w:rsid w:val="009F3971"/>
    <w:rsid w:val="009F4AEB"/>
    <w:rsid w:val="009F5661"/>
    <w:rsid w:val="009F6BDC"/>
    <w:rsid w:val="009F7963"/>
    <w:rsid w:val="00A006DD"/>
    <w:rsid w:val="00A0078B"/>
    <w:rsid w:val="00A007DE"/>
    <w:rsid w:val="00A01D86"/>
    <w:rsid w:val="00A021CC"/>
    <w:rsid w:val="00A030CE"/>
    <w:rsid w:val="00A04226"/>
    <w:rsid w:val="00A04ABA"/>
    <w:rsid w:val="00A060C4"/>
    <w:rsid w:val="00A06609"/>
    <w:rsid w:val="00A07382"/>
    <w:rsid w:val="00A07A71"/>
    <w:rsid w:val="00A114E6"/>
    <w:rsid w:val="00A11714"/>
    <w:rsid w:val="00A13033"/>
    <w:rsid w:val="00A144F4"/>
    <w:rsid w:val="00A1498F"/>
    <w:rsid w:val="00A20932"/>
    <w:rsid w:val="00A23F02"/>
    <w:rsid w:val="00A24D6E"/>
    <w:rsid w:val="00A257C3"/>
    <w:rsid w:val="00A26AF1"/>
    <w:rsid w:val="00A30AE3"/>
    <w:rsid w:val="00A30D99"/>
    <w:rsid w:val="00A320BA"/>
    <w:rsid w:val="00A37FCA"/>
    <w:rsid w:val="00A40516"/>
    <w:rsid w:val="00A40993"/>
    <w:rsid w:val="00A40E17"/>
    <w:rsid w:val="00A40F7B"/>
    <w:rsid w:val="00A44247"/>
    <w:rsid w:val="00A44660"/>
    <w:rsid w:val="00A44BB7"/>
    <w:rsid w:val="00A451DB"/>
    <w:rsid w:val="00A539E5"/>
    <w:rsid w:val="00A53F0D"/>
    <w:rsid w:val="00A53F14"/>
    <w:rsid w:val="00A57D1D"/>
    <w:rsid w:val="00A608CD"/>
    <w:rsid w:val="00A61273"/>
    <w:rsid w:val="00A63A63"/>
    <w:rsid w:val="00A641BC"/>
    <w:rsid w:val="00A64554"/>
    <w:rsid w:val="00A6523C"/>
    <w:rsid w:val="00A675D0"/>
    <w:rsid w:val="00A70781"/>
    <w:rsid w:val="00A70F9E"/>
    <w:rsid w:val="00A7367C"/>
    <w:rsid w:val="00A741F1"/>
    <w:rsid w:val="00A76707"/>
    <w:rsid w:val="00A843CB"/>
    <w:rsid w:val="00A85E54"/>
    <w:rsid w:val="00A86628"/>
    <w:rsid w:val="00AA0A48"/>
    <w:rsid w:val="00AA0BE0"/>
    <w:rsid w:val="00AA5FE4"/>
    <w:rsid w:val="00AB2EA5"/>
    <w:rsid w:val="00AB5D0F"/>
    <w:rsid w:val="00AC215F"/>
    <w:rsid w:val="00AC28F5"/>
    <w:rsid w:val="00AC559E"/>
    <w:rsid w:val="00AC5657"/>
    <w:rsid w:val="00AC617A"/>
    <w:rsid w:val="00AC62D1"/>
    <w:rsid w:val="00AC6512"/>
    <w:rsid w:val="00AC746E"/>
    <w:rsid w:val="00AD057B"/>
    <w:rsid w:val="00AD104F"/>
    <w:rsid w:val="00AD16CA"/>
    <w:rsid w:val="00AD3EE1"/>
    <w:rsid w:val="00AD6225"/>
    <w:rsid w:val="00AE2B70"/>
    <w:rsid w:val="00AE7B42"/>
    <w:rsid w:val="00AF4666"/>
    <w:rsid w:val="00AF67A1"/>
    <w:rsid w:val="00AF75A8"/>
    <w:rsid w:val="00B01698"/>
    <w:rsid w:val="00B01E15"/>
    <w:rsid w:val="00B027E9"/>
    <w:rsid w:val="00B031D9"/>
    <w:rsid w:val="00B050CD"/>
    <w:rsid w:val="00B05EEA"/>
    <w:rsid w:val="00B07578"/>
    <w:rsid w:val="00B076EB"/>
    <w:rsid w:val="00B118EF"/>
    <w:rsid w:val="00B11DB2"/>
    <w:rsid w:val="00B12933"/>
    <w:rsid w:val="00B12BC6"/>
    <w:rsid w:val="00B12E87"/>
    <w:rsid w:val="00B158EE"/>
    <w:rsid w:val="00B20F70"/>
    <w:rsid w:val="00B2294D"/>
    <w:rsid w:val="00B23019"/>
    <w:rsid w:val="00B24CE4"/>
    <w:rsid w:val="00B259C5"/>
    <w:rsid w:val="00B2680C"/>
    <w:rsid w:val="00B27DDA"/>
    <w:rsid w:val="00B30109"/>
    <w:rsid w:val="00B30C0F"/>
    <w:rsid w:val="00B313B9"/>
    <w:rsid w:val="00B316BB"/>
    <w:rsid w:val="00B34ADF"/>
    <w:rsid w:val="00B3531E"/>
    <w:rsid w:val="00B35C43"/>
    <w:rsid w:val="00B401D1"/>
    <w:rsid w:val="00B4203B"/>
    <w:rsid w:val="00B42C09"/>
    <w:rsid w:val="00B44BA2"/>
    <w:rsid w:val="00B453FC"/>
    <w:rsid w:val="00B4542C"/>
    <w:rsid w:val="00B46B98"/>
    <w:rsid w:val="00B46C29"/>
    <w:rsid w:val="00B47C84"/>
    <w:rsid w:val="00B53EB0"/>
    <w:rsid w:val="00B552D3"/>
    <w:rsid w:val="00B56534"/>
    <w:rsid w:val="00B57798"/>
    <w:rsid w:val="00B57D06"/>
    <w:rsid w:val="00B6070F"/>
    <w:rsid w:val="00B61631"/>
    <w:rsid w:val="00B61F44"/>
    <w:rsid w:val="00B62116"/>
    <w:rsid w:val="00B64D13"/>
    <w:rsid w:val="00B67355"/>
    <w:rsid w:val="00B678D7"/>
    <w:rsid w:val="00B725F1"/>
    <w:rsid w:val="00B763BF"/>
    <w:rsid w:val="00B766F1"/>
    <w:rsid w:val="00B767EE"/>
    <w:rsid w:val="00B77A10"/>
    <w:rsid w:val="00B80EE9"/>
    <w:rsid w:val="00B81378"/>
    <w:rsid w:val="00B87567"/>
    <w:rsid w:val="00B877F8"/>
    <w:rsid w:val="00B94B31"/>
    <w:rsid w:val="00B95721"/>
    <w:rsid w:val="00B965CB"/>
    <w:rsid w:val="00B969E0"/>
    <w:rsid w:val="00B977E2"/>
    <w:rsid w:val="00BA19B4"/>
    <w:rsid w:val="00BA19D5"/>
    <w:rsid w:val="00BA1C24"/>
    <w:rsid w:val="00BA1DAD"/>
    <w:rsid w:val="00BA21D4"/>
    <w:rsid w:val="00BA26D2"/>
    <w:rsid w:val="00BA33D0"/>
    <w:rsid w:val="00BA3DDB"/>
    <w:rsid w:val="00BA48CC"/>
    <w:rsid w:val="00BA49FA"/>
    <w:rsid w:val="00BA6082"/>
    <w:rsid w:val="00BA62AE"/>
    <w:rsid w:val="00BB18DA"/>
    <w:rsid w:val="00BB1AD7"/>
    <w:rsid w:val="00BB4B43"/>
    <w:rsid w:val="00BB5056"/>
    <w:rsid w:val="00BB5091"/>
    <w:rsid w:val="00BB535A"/>
    <w:rsid w:val="00BB6754"/>
    <w:rsid w:val="00BC1A2D"/>
    <w:rsid w:val="00BC2477"/>
    <w:rsid w:val="00BC2835"/>
    <w:rsid w:val="00BC32A5"/>
    <w:rsid w:val="00BC4DDC"/>
    <w:rsid w:val="00BC574C"/>
    <w:rsid w:val="00BC6C12"/>
    <w:rsid w:val="00BC77F3"/>
    <w:rsid w:val="00BD31E0"/>
    <w:rsid w:val="00BD35DF"/>
    <w:rsid w:val="00BD39D5"/>
    <w:rsid w:val="00BD567B"/>
    <w:rsid w:val="00BD7331"/>
    <w:rsid w:val="00BE0577"/>
    <w:rsid w:val="00BE18C3"/>
    <w:rsid w:val="00BE5E5B"/>
    <w:rsid w:val="00BE5E8F"/>
    <w:rsid w:val="00BE749A"/>
    <w:rsid w:val="00BE79A7"/>
    <w:rsid w:val="00BE7DCD"/>
    <w:rsid w:val="00BE7F6C"/>
    <w:rsid w:val="00BF0F64"/>
    <w:rsid w:val="00BF0FCF"/>
    <w:rsid w:val="00BF15BA"/>
    <w:rsid w:val="00BF26FF"/>
    <w:rsid w:val="00BF2B69"/>
    <w:rsid w:val="00BF312C"/>
    <w:rsid w:val="00BF3252"/>
    <w:rsid w:val="00BF6FEB"/>
    <w:rsid w:val="00BF710B"/>
    <w:rsid w:val="00C009FE"/>
    <w:rsid w:val="00C0294F"/>
    <w:rsid w:val="00C02EE9"/>
    <w:rsid w:val="00C04A90"/>
    <w:rsid w:val="00C055A3"/>
    <w:rsid w:val="00C063D6"/>
    <w:rsid w:val="00C074EB"/>
    <w:rsid w:val="00C103F3"/>
    <w:rsid w:val="00C107D2"/>
    <w:rsid w:val="00C10E89"/>
    <w:rsid w:val="00C14969"/>
    <w:rsid w:val="00C15714"/>
    <w:rsid w:val="00C160EC"/>
    <w:rsid w:val="00C17BA0"/>
    <w:rsid w:val="00C223E3"/>
    <w:rsid w:val="00C22535"/>
    <w:rsid w:val="00C245F1"/>
    <w:rsid w:val="00C24976"/>
    <w:rsid w:val="00C25207"/>
    <w:rsid w:val="00C255AA"/>
    <w:rsid w:val="00C25DDF"/>
    <w:rsid w:val="00C265C6"/>
    <w:rsid w:val="00C27918"/>
    <w:rsid w:val="00C32D9D"/>
    <w:rsid w:val="00C34DBC"/>
    <w:rsid w:val="00C36B74"/>
    <w:rsid w:val="00C424FE"/>
    <w:rsid w:val="00C42CFE"/>
    <w:rsid w:val="00C432C9"/>
    <w:rsid w:val="00C4557A"/>
    <w:rsid w:val="00C46867"/>
    <w:rsid w:val="00C46933"/>
    <w:rsid w:val="00C514F1"/>
    <w:rsid w:val="00C5199F"/>
    <w:rsid w:val="00C527E3"/>
    <w:rsid w:val="00C528DF"/>
    <w:rsid w:val="00C5501E"/>
    <w:rsid w:val="00C551EC"/>
    <w:rsid w:val="00C571A2"/>
    <w:rsid w:val="00C57DB5"/>
    <w:rsid w:val="00C60EE7"/>
    <w:rsid w:val="00C62A26"/>
    <w:rsid w:val="00C65C5C"/>
    <w:rsid w:val="00C711CF"/>
    <w:rsid w:val="00C73E99"/>
    <w:rsid w:val="00C74347"/>
    <w:rsid w:val="00C743C3"/>
    <w:rsid w:val="00C760A6"/>
    <w:rsid w:val="00C779A5"/>
    <w:rsid w:val="00C8046B"/>
    <w:rsid w:val="00C81D76"/>
    <w:rsid w:val="00C82AAD"/>
    <w:rsid w:val="00C8302B"/>
    <w:rsid w:val="00C8448C"/>
    <w:rsid w:val="00C84D89"/>
    <w:rsid w:val="00C91168"/>
    <w:rsid w:val="00C92BFE"/>
    <w:rsid w:val="00C9367D"/>
    <w:rsid w:val="00C96092"/>
    <w:rsid w:val="00C96323"/>
    <w:rsid w:val="00C97CD1"/>
    <w:rsid w:val="00CA3ED1"/>
    <w:rsid w:val="00CA63AC"/>
    <w:rsid w:val="00CA7087"/>
    <w:rsid w:val="00CB1F99"/>
    <w:rsid w:val="00CB30AE"/>
    <w:rsid w:val="00CB3BED"/>
    <w:rsid w:val="00CB42D8"/>
    <w:rsid w:val="00CB4335"/>
    <w:rsid w:val="00CB4B04"/>
    <w:rsid w:val="00CB71CB"/>
    <w:rsid w:val="00CB7838"/>
    <w:rsid w:val="00CB7A8B"/>
    <w:rsid w:val="00CC227C"/>
    <w:rsid w:val="00CC3BDE"/>
    <w:rsid w:val="00CC3CFE"/>
    <w:rsid w:val="00CC56F1"/>
    <w:rsid w:val="00CC5BFD"/>
    <w:rsid w:val="00CD2043"/>
    <w:rsid w:val="00CD32B5"/>
    <w:rsid w:val="00CD434B"/>
    <w:rsid w:val="00CD44DE"/>
    <w:rsid w:val="00CD59C5"/>
    <w:rsid w:val="00CD6209"/>
    <w:rsid w:val="00CD6506"/>
    <w:rsid w:val="00CD7345"/>
    <w:rsid w:val="00CE0FC6"/>
    <w:rsid w:val="00CE420B"/>
    <w:rsid w:val="00CE4DF9"/>
    <w:rsid w:val="00CE58B8"/>
    <w:rsid w:val="00CE721D"/>
    <w:rsid w:val="00CE7A80"/>
    <w:rsid w:val="00CF13F1"/>
    <w:rsid w:val="00CF4508"/>
    <w:rsid w:val="00CF5188"/>
    <w:rsid w:val="00CF5431"/>
    <w:rsid w:val="00CF54DF"/>
    <w:rsid w:val="00D00A67"/>
    <w:rsid w:val="00D00D00"/>
    <w:rsid w:val="00D00D92"/>
    <w:rsid w:val="00D01112"/>
    <w:rsid w:val="00D014E1"/>
    <w:rsid w:val="00D0196B"/>
    <w:rsid w:val="00D06BF9"/>
    <w:rsid w:val="00D10296"/>
    <w:rsid w:val="00D15CA5"/>
    <w:rsid w:val="00D16DAC"/>
    <w:rsid w:val="00D17EAB"/>
    <w:rsid w:val="00D17F07"/>
    <w:rsid w:val="00D21630"/>
    <w:rsid w:val="00D21746"/>
    <w:rsid w:val="00D228B9"/>
    <w:rsid w:val="00D2438B"/>
    <w:rsid w:val="00D24E43"/>
    <w:rsid w:val="00D25F16"/>
    <w:rsid w:val="00D278ED"/>
    <w:rsid w:val="00D27BBD"/>
    <w:rsid w:val="00D31130"/>
    <w:rsid w:val="00D314FD"/>
    <w:rsid w:val="00D33E0C"/>
    <w:rsid w:val="00D37AE5"/>
    <w:rsid w:val="00D418E7"/>
    <w:rsid w:val="00D452EE"/>
    <w:rsid w:val="00D4620F"/>
    <w:rsid w:val="00D4732E"/>
    <w:rsid w:val="00D478E4"/>
    <w:rsid w:val="00D50612"/>
    <w:rsid w:val="00D529AB"/>
    <w:rsid w:val="00D53041"/>
    <w:rsid w:val="00D53248"/>
    <w:rsid w:val="00D5367E"/>
    <w:rsid w:val="00D53F11"/>
    <w:rsid w:val="00D55033"/>
    <w:rsid w:val="00D55BF3"/>
    <w:rsid w:val="00D56742"/>
    <w:rsid w:val="00D56E0B"/>
    <w:rsid w:val="00D57048"/>
    <w:rsid w:val="00D576D0"/>
    <w:rsid w:val="00D60841"/>
    <w:rsid w:val="00D60C19"/>
    <w:rsid w:val="00D615F1"/>
    <w:rsid w:val="00D6170F"/>
    <w:rsid w:val="00D63445"/>
    <w:rsid w:val="00D63F98"/>
    <w:rsid w:val="00D65056"/>
    <w:rsid w:val="00D65543"/>
    <w:rsid w:val="00D67778"/>
    <w:rsid w:val="00D710D2"/>
    <w:rsid w:val="00D7198F"/>
    <w:rsid w:val="00D75DC2"/>
    <w:rsid w:val="00D75F45"/>
    <w:rsid w:val="00D80797"/>
    <w:rsid w:val="00D80C66"/>
    <w:rsid w:val="00D828AA"/>
    <w:rsid w:val="00D86C87"/>
    <w:rsid w:val="00D86D38"/>
    <w:rsid w:val="00D86D60"/>
    <w:rsid w:val="00D904AB"/>
    <w:rsid w:val="00D90FF5"/>
    <w:rsid w:val="00D9263C"/>
    <w:rsid w:val="00D92898"/>
    <w:rsid w:val="00D956B6"/>
    <w:rsid w:val="00D96C69"/>
    <w:rsid w:val="00D96F6A"/>
    <w:rsid w:val="00D97E48"/>
    <w:rsid w:val="00DA2D16"/>
    <w:rsid w:val="00DA3303"/>
    <w:rsid w:val="00DA37ED"/>
    <w:rsid w:val="00DA3F1A"/>
    <w:rsid w:val="00DA5D6E"/>
    <w:rsid w:val="00DA627B"/>
    <w:rsid w:val="00DB058E"/>
    <w:rsid w:val="00DB1904"/>
    <w:rsid w:val="00DB3158"/>
    <w:rsid w:val="00DB363A"/>
    <w:rsid w:val="00DB3656"/>
    <w:rsid w:val="00DB3E70"/>
    <w:rsid w:val="00DB446C"/>
    <w:rsid w:val="00DB5421"/>
    <w:rsid w:val="00DB65F5"/>
    <w:rsid w:val="00DB6699"/>
    <w:rsid w:val="00DB732C"/>
    <w:rsid w:val="00DC2A3C"/>
    <w:rsid w:val="00DC65E2"/>
    <w:rsid w:val="00DC6DAF"/>
    <w:rsid w:val="00DC7BC0"/>
    <w:rsid w:val="00DD074D"/>
    <w:rsid w:val="00DD11C1"/>
    <w:rsid w:val="00DD20BC"/>
    <w:rsid w:val="00DD288B"/>
    <w:rsid w:val="00DD3F58"/>
    <w:rsid w:val="00DD4973"/>
    <w:rsid w:val="00DD6B4B"/>
    <w:rsid w:val="00DD78AE"/>
    <w:rsid w:val="00DE026C"/>
    <w:rsid w:val="00DE0713"/>
    <w:rsid w:val="00DE18BF"/>
    <w:rsid w:val="00DE516A"/>
    <w:rsid w:val="00DE5505"/>
    <w:rsid w:val="00DE7501"/>
    <w:rsid w:val="00DE777A"/>
    <w:rsid w:val="00DF0080"/>
    <w:rsid w:val="00DF03A5"/>
    <w:rsid w:val="00DF05C6"/>
    <w:rsid w:val="00DF08EA"/>
    <w:rsid w:val="00DF3F24"/>
    <w:rsid w:val="00DF4F65"/>
    <w:rsid w:val="00E00B6D"/>
    <w:rsid w:val="00E05965"/>
    <w:rsid w:val="00E05D61"/>
    <w:rsid w:val="00E07E82"/>
    <w:rsid w:val="00E106A7"/>
    <w:rsid w:val="00E11A80"/>
    <w:rsid w:val="00E12C54"/>
    <w:rsid w:val="00E133C5"/>
    <w:rsid w:val="00E147AE"/>
    <w:rsid w:val="00E2168C"/>
    <w:rsid w:val="00E2290A"/>
    <w:rsid w:val="00E22C47"/>
    <w:rsid w:val="00E234F1"/>
    <w:rsid w:val="00E238BE"/>
    <w:rsid w:val="00E23B85"/>
    <w:rsid w:val="00E24444"/>
    <w:rsid w:val="00E25BBA"/>
    <w:rsid w:val="00E2772D"/>
    <w:rsid w:val="00E30BEA"/>
    <w:rsid w:val="00E32D42"/>
    <w:rsid w:val="00E33347"/>
    <w:rsid w:val="00E3381F"/>
    <w:rsid w:val="00E33F79"/>
    <w:rsid w:val="00E35AD3"/>
    <w:rsid w:val="00E4103B"/>
    <w:rsid w:val="00E42F26"/>
    <w:rsid w:val="00E43AE0"/>
    <w:rsid w:val="00E50617"/>
    <w:rsid w:val="00E5179B"/>
    <w:rsid w:val="00E5187E"/>
    <w:rsid w:val="00E51955"/>
    <w:rsid w:val="00E51FD3"/>
    <w:rsid w:val="00E56BF5"/>
    <w:rsid w:val="00E57A58"/>
    <w:rsid w:val="00E60306"/>
    <w:rsid w:val="00E60C04"/>
    <w:rsid w:val="00E61B7A"/>
    <w:rsid w:val="00E64B94"/>
    <w:rsid w:val="00E67E54"/>
    <w:rsid w:val="00E70AE7"/>
    <w:rsid w:val="00E72BA8"/>
    <w:rsid w:val="00E736C4"/>
    <w:rsid w:val="00E746F7"/>
    <w:rsid w:val="00E76A26"/>
    <w:rsid w:val="00E76FDA"/>
    <w:rsid w:val="00E8086C"/>
    <w:rsid w:val="00E80945"/>
    <w:rsid w:val="00E80A37"/>
    <w:rsid w:val="00E83233"/>
    <w:rsid w:val="00E83C14"/>
    <w:rsid w:val="00E85D3F"/>
    <w:rsid w:val="00E94F29"/>
    <w:rsid w:val="00E95F0C"/>
    <w:rsid w:val="00E963C2"/>
    <w:rsid w:val="00EA16CD"/>
    <w:rsid w:val="00EA32A2"/>
    <w:rsid w:val="00EA367F"/>
    <w:rsid w:val="00EA3EE5"/>
    <w:rsid w:val="00EA53EB"/>
    <w:rsid w:val="00EA579F"/>
    <w:rsid w:val="00EA77DB"/>
    <w:rsid w:val="00EA77E9"/>
    <w:rsid w:val="00EB03F5"/>
    <w:rsid w:val="00EB0D02"/>
    <w:rsid w:val="00EB0E20"/>
    <w:rsid w:val="00EB3495"/>
    <w:rsid w:val="00EB42A2"/>
    <w:rsid w:val="00EB432D"/>
    <w:rsid w:val="00EB5344"/>
    <w:rsid w:val="00EB6038"/>
    <w:rsid w:val="00EB6A01"/>
    <w:rsid w:val="00EC23DE"/>
    <w:rsid w:val="00EC2DC5"/>
    <w:rsid w:val="00EC5392"/>
    <w:rsid w:val="00EC5E56"/>
    <w:rsid w:val="00EC6603"/>
    <w:rsid w:val="00EC6C57"/>
    <w:rsid w:val="00ED315B"/>
    <w:rsid w:val="00ED4BDF"/>
    <w:rsid w:val="00ED60D7"/>
    <w:rsid w:val="00ED64D8"/>
    <w:rsid w:val="00ED7F5E"/>
    <w:rsid w:val="00EE0505"/>
    <w:rsid w:val="00EE2530"/>
    <w:rsid w:val="00EE25FD"/>
    <w:rsid w:val="00EE3BE0"/>
    <w:rsid w:val="00EE4F48"/>
    <w:rsid w:val="00EE522F"/>
    <w:rsid w:val="00EE5A34"/>
    <w:rsid w:val="00EF3DD2"/>
    <w:rsid w:val="00EF61E7"/>
    <w:rsid w:val="00EF6549"/>
    <w:rsid w:val="00F00997"/>
    <w:rsid w:val="00F0278B"/>
    <w:rsid w:val="00F0299B"/>
    <w:rsid w:val="00F02FEA"/>
    <w:rsid w:val="00F0726F"/>
    <w:rsid w:val="00F11A35"/>
    <w:rsid w:val="00F11F50"/>
    <w:rsid w:val="00F12014"/>
    <w:rsid w:val="00F16008"/>
    <w:rsid w:val="00F16F4C"/>
    <w:rsid w:val="00F17A58"/>
    <w:rsid w:val="00F21356"/>
    <w:rsid w:val="00F22BC8"/>
    <w:rsid w:val="00F238D5"/>
    <w:rsid w:val="00F2629E"/>
    <w:rsid w:val="00F31D66"/>
    <w:rsid w:val="00F325D3"/>
    <w:rsid w:val="00F330C8"/>
    <w:rsid w:val="00F35752"/>
    <w:rsid w:val="00F35F7E"/>
    <w:rsid w:val="00F37BF4"/>
    <w:rsid w:val="00F40907"/>
    <w:rsid w:val="00F41C4C"/>
    <w:rsid w:val="00F42CAA"/>
    <w:rsid w:val="00F4342D"/>
    <w:rsid w:val="00F45B5D"/>
    <w:rsid w:val="00F46A9F"/>
    <w:rsid w:val="00F46C17"/>
    <w:rsid w:val="00F46C5C"/>
    <w:rsid w:val="00F50864"/>
    <w:rsid w:val="00F515BD"/>
    <w:rsid w:val="00F56473"/>
    <w:rsid w:val="00F567CF"/>
    <w:rsid w:val="00F5713C"/>
    <w:rsid w:val="00F6192E"/>
    <w:rsid w:val="00F6285E"/>
    <w:rsid w:val="00F63C2F"/>
    <w:rsid w:val="00F640AA"/>
    <w:rsid w:val="00F65A38"/>
    <w:rsid w:val="00F7001B"/>
    <w:rsid w:val="00F723C7"/>
    <w:rsid w:val="00F725E1"/>
    <w:rsid w:val="00F732B0"/>
    <w:rsid w:val="00F74437"/>
    <w:rsid w:val="00F74ABF"/>
    <w:rsid w:val="00F757F3"/>
    <w:rsid w:val="00F75DC9"/>
    <w:rsid w:val="00F767C1"/>
    <w:rsid w:val="00F77636"/>
    <w:rsid w:val="00F830C3"/>
    <w:rsid w:val="00F83B52"/>
    <w:rsid w:val="00F8468F"/>
    <w:rsid w:val="00F85D35"/>
    <w:rsid w:val="00F86929"/>
    <w:rsid w:val="00F86F2F"/>
    <w:rsid w:val="00F91A51"/>
    <w:rsid w:val="00F93F56"/>
    <w:rsid w:val="00F94622"/>
    <w:rsid w:val="00F96E5D"/>
    <w:rsid w:val="00F97079"/>
    <w:rsid w:val="00FA022D"/>
    <w:rsid w:val="00FA22F6"/>
    <w:rsid w:val="00FA631F"/>
    <w:rsid w:val="00FA68C6"/>
    <w:rsid w:val="00FA7B80"/>
    <w:rsid w:val="00FB096A"/>
    <w:rsid w:val="00FB279E"/>
    <w:rsid w:val="00FB27FF"/>
    <w:rsid w:val="00FB3022"/>
    <w:rsid w:val="00FB3173"/>
    <w:rsid w:val="00FB5748"/>
    <w:rsid w:val="00FB5F2C"/>
    <w:rsid w:val="00FB5F64"/>
    <w:rsid w:val="00FB6CBA"/>
    <w:rsid w:val="00FC0449"/>
    <w:rsid w:val="00FC2E72"/>
    <w:rsid w:val="00FC5A89"/>
    <w:rsid w:val="00FC6679"/>
    <w:rsid w:val="00FC68EB"/>
    <w:rsid w:val="00FC76EB"/>
    <w:rsid w:val="00FD1E75"/>
    <w:rsid w:val="00FD3A86"/>
    <w:rsid w:val="00FD3DA0"/>
    <w:rsid w:val="00FE0319"/>
    <w:rsid w:val="00FE086F"/>
    <w:rsid w:val="00FE13A5"/>
    <w:rsid w:val="00FE30F0"/>
    <w:rsid w:val="00FF0073"/>
    <w:rsid w:val="00FF2F55"/>
    <w:rsid w:val="00FF3E06"/>
    <w:rsid w:val="00FF7C5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EB8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de-AT" w:eastAsia="en-US" w:bidi="ar-SA"/>
      </w:rPr>
    </w:rPrDefault>
    <w:pPrDefault>
      <w:pPr>
        <w:spacing w:line="28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2DED"/>
    <w:rPr>
      <w:rFonts w:ascii="Trebuchet MS" w:eastAsiaTheme="minorHAnsi" w:hAnsi="Trebuchet MS" w:cs="Times New Roman"/>
      <w:lang w:eastAsia="de-DE"/>
    </w:rPr>
  </w:style>
  <w:style w:type="paragraph" w:styleId="berschrift1">
    <w:name w:val="heading 1"/>
    <w:basedOn w:val="Standard"/>
    <w:next w:val="Standard"/>
    <w:link w:val="berschrift1Zchn"/>
    <w:qFormat/>
    <w:rsid w:val="00BC2477"/>
    <w:pPr>
      <w:keepNext/>
      <w:pageBreakBefore/>
      <w:spacing w:after="360"/>
      <w:outlineLvl w:val="0"/>
    </w:pPr>
    <w:rPr>
      <w:rFonts w:ascii="Optima" w:hAnsi="Optima"/>
      <w:b/>
      <w:caps/>
      <w:kern w:val="28"/>
      <w:sz w:val="48"/>
    </w:rPr>
  </w:style>
  <w:style w:type="paragraph" w:styleId="berschrift2">
    <w:name w:val="heading 2"/>
    <w:basedOn w:val="Standard"/>
    <w:next w:val="Standard"/>
    <w:link w:val="berschrift2Zchn"/>
    <w:qFormat/>
    <w:rsid w:val="00BC2477"/>
    <w:pPr>
      <w:keepNext/>
      <w:spacing w:before="240" w:after="240"/>
      <w:outlineLvl w:val="1"/>
    </w:pPr>
    <w:rPr>
      <w:rFonts w:ascii="Optima" w:hAnsi="Optima"/>
      <w:b/>
      <w:caps/>
      <w:sz w:val="32"/>
    </w:rPr>
  </w:style>
  <w:style w:type="paragraph" w:styleId="berschrift3">
    <w:name w:val="heading 3"/>
    <w:basedOn w:val="Standard"/>
    <w:next w:val="Standard"/>
    <w:link w:val="berschrift3Zchn"/>
    <w:qFormat/>
    <w:rsid w:val="00BC2477"/>
    <w:pPr>
      <w:keepNext/>
      <w:spacing w:before="240" w:after="240"/>
      <w:outlineLvl w:val="2"/>
    </w:pPr>
    <w:rPr>
      <w:rFonts w:ascii="Optima" w:hAnsi="Optima"/>
      <w:b/>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385222"/>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85222"/>
    <w:rPr>
      <w:rFonts w:ascii="Tahoma" w:hAnsi="Tahoma" w:cs="Tahoma"/>
      <w:sz w:val="16"/>
      <w:szCs w:val="16"/>
    </w:rPr>
  </w:style>
  <w:style w:type="paragraph" w:styleId="Funotentext">
    <w:name w:val="footnote text"/>
    <w:aliases w:val="Fußnotentext Char1,Fußnotentext Char2 Char,Fußnotentext Char1 Char Char,Fußnotentext Char2 Char Char Char,Fußnotentext Char1 Char Char Char Char,Fußnotentext Char Char Char Char Char Char Char,Fußnotentext Char2"/>
    <w:basedOn w:val="Standard"/>
    <w:link w:val="FunotentextZchn"/>
    <w:uiPriority w:val="99"/>
    <w:semiHidden/>
    <w:rsid w:val="00BC2477"/>
    <w:rPr>
      <w:sz w:val="18"/>
    </w:rPr>
  </w:style>
  <w:style w:type="character" w:customStyle="1" w:styleId="FunotentextZchn">
    <w:name w:val="Fußnotentext Zchn"/>
    <w:aliases w:val="Fußnotentext Char1 Zchn,Fußnotentext Char2 Char Zchn,Fußnotentext Char1 Char Char Zchn,Fußnotentext Char2 Char Char Char Zchn,Fußnotentext Char1 Char Char Char Char Zchn,Fußnotentext Char Char Char Char Char Char Char Zchn"/>
    <w:basedOn w:val="Absatz-Standardschriftart"/>
    <w:link w:val="Funotentext"/>
    <w:uiPriority w:val="99"/>
    <w:semiHidden/>
    <w:rsid w:val="00BC2477"/>
    <w:rPr>
      <w:rFonts w:ascii="Trebuchet MS" w:eastAsia="Times New Roman" w:hAnsi="Trebuchet MS" w:cs="Times New Roman"/>
      <w:sz w:val="18"/>
      <w:szCs w:val="20"/>
      <w:lang w:val="de-DE" w:eastAsia="de-DE"/>
    </w:rPr>
  </w:style>
  <w:style w:type="character" w:customStyle="1" w:styleId="berschrift1Zchn">
    <w:name w:val="Überschrift 1 Zchn"/>
    <w:basedOn w:val="Absatz-Standardschriftart"/>
    <w:link w:val="berschrift1"/>
    <w:rsid w:val="00BC2477"/>
    <w:rPr>
      <w:rFonts w:ascii="Optima" w:eastAsia="Times New Roman" w:hAnsi="Optima" w:cs="Times New Roman"/>
      <w:b/>
      <w:caps/>
      <w:kern w:val="28"/>
      <w:sz w:val="48"/>
      <w:szCs w:val="20"/>
      <w:lang w:val="de-DE" w:eastAsia="de-DE"/>
    </w:rPr>
  </w:style>
  <w:style w:type="character" w:customStyle="1" w:styleId="berschrift2Zchn">
    <w:name w:val="Überschrift 2 Zchn"/>
    <w:basedOn w:val="Absatz-Standardschriftart"/>
    <w:link w:val="berschrift2"/>
    <w:rsid w:val="00BC2477"/>
    <w:rPr>
      <w:rFonts w:ascii="Optima" w:eastAsia="Times New Roman" w:hAnsi="Optima" w:cs="Times New Roman"/>
      <w:b/>
      <w:caps/>
      <w:sz w:val="32"/>
      <w:szCs w:val="20"/>
      <w:lang w:val="de-DE" w:eastAsia="de-DE"/>
    </w:rPr>
  </w:style>
  <w:style w:type="character" w:customStyle="1" w:styleId="berschrift3Zchn">
    <w:name w:val="Überschrift 3 Zchn"/>
    <w:basedOn w:val="Absatz-Standardschriftart"/>
    <w:link w:val="berschrift3"/>
    <w:rsid w:val="00BC2477"/>
    <w:rPr>
      <w:rFonts w:ascii="Optima" w:eastAsia="Times New Roman" w:hAnsi="Optima" w:cs="Times New Roman"/>
      <w:b/>
      <w:sz w:val="28"/>
      <w:szCs w:val="20"/>
      <w:lang w:val="de-DE" w:eastAsia="de-DE"/>
    </w:rPr>
  </w:style>
  <w:style w:type="paragraph" w:styleId="Listenabsatz">
    <w:name w:val="List Paragraph"/>
    <w:basedOn w:val="Standard"/>
    <w:uiPriority w:val="34"/>
    <w:qFormat/>
    <w:rsid w:val="009E7121"/>
    <w:pPr>
      <w:ind w:left="720"/>
      <w:contextualSpacing/>
    </w:pPr>
  </w:style>
  <w:style w:type="paragraph" w:customStyle="1" w:styleId="Default">
    <w:name w:val="Default"/>
    <w:rsid w:val="009E7121"/>
    <w:pPr>
      <w:autoSpaceDE w:val="0"/>
      <w:autoSpaceDN w:val="0"/>
      <w:adjustRightInd w:val="0"/>
      <w:spacing w:line="240" w:lineRule="auto"/>
    </w:pPr>
    <w:rPr>
      <w:rFonts w:ascii="Verdana" w:hAnsi="Verdana" w:cs="Verdana"/>
      <w:color w:val="000000"/>
      <w:sz w:val="24"/>
      <w:szCs w:val="24"/>
    </w:rPr>
  </w:style>
  <w:style w:type="character" w:styleId="Hyperlink">
    <w:name w:val="Hyperlink"/>
    <w:basedOn w:val="Absatz-Standardschriftart"/>
    <w:uiPriority w:val="99"/>
    <w:unhideWhenUsed/>
    <w:rsid w:val="00E2168C"/>
    <w:rPr>
      <w:color w:val="002060" w:themeColor="hyperlink"/>
      <w:u w:val="single"/>
    </w:rPr>
  </w:style>
  <w:style w:type="character" w:styleId="BesuchterHyperlink">
    <w:name w:val="FollowedHyperlink"/>
    <w:basedOn w:val="Absatz-Standardschriftart"/>
    <w:uiPriority w:val="99"/>
    <w:semiHidden/>
    <w:unhideWhenUsed/>
    <w:rsid w:val="009842EC"/>
    <w:rPr>
      <w:color w:val="919191" w:themeColor="followedHyperlink"/>
      <w:u w:val="single"/>
    </w:rPr>
  </w:style>
  <w:style w:type="character" w:styleId="Kommentarzeichen">
    <w:name w:val="annotation reference"/>
    <w:basedOn w:val="Absatz-Standardschriftart"/>
    <w:uiPriority w:val="99"/>
    <w:semiHidden/>
    <w:unhideWhenUsed/>
    <w:rsid w:val="001606EF"/>
    <w:rPr>
      <w:sz w:val="16"/>
      <w:szCs w:val="16"/>
    </w:rPr>
  </w:style>
  <w:style w:type="paragraph" w:styleId="Kommentartext">
    <w:name w:val="annotation text"/>
    <w:basedOn w:val="Standard"/>
    <w:link w:val="KommentartextZchn"/>
    <w:uiPriority w:val="99"/>
    <w:semiHidden/>
    <w:unhideWhenUsed/>
    <w:rsid w:val="001606EF"/>
    <w:pPr>
      <w:spacing w:line="240" w:lineRule="auto"/>
    </w:pPr>
    <w:rPr>
      <w:sz w:val="20"/>
    </w:rPr>
  </w:style>
  <w:style w:type="character" w:customStyle="1" w:styleId="KommentartextZchn">
    <w:name w:val="Kommentartext Zchn"/>
    <w:basedOn w:val="Absatz-Standardschriftart"/>
    <w:link w:val="Kommentartext"/>
    <w:uiPriority w:val="99"/>
    <w:semiHidden/>
    <w:rsid w:val="001606EF"/>
    <w:rPr>
      <w:rFonts w:ascii="Trebuchet MS" w:hAnsi="Trebuchet MS" w:cs="Times New Roman"/>
      <w:sz w:val="20"/>
      <w:szCs w:val="20"/>
      <w:lang w:val="de-DE" w:eastAsia="de-DE"/>
    </w:rPr>
  </w:style>
  <w:style w:type="paragraph" w:styleId="Kommentarthema">
    <w:name w:val="annotation subject"/>
    <w:basedOn w:val="Kommentartext"/>
    <w:next w:val="Kommentartext"/>
    <w:link w:val="KommentarthemaZchn"/>
    <w:uiPriority w:val="99"/>
    <w:semiHidden/>
    <w:unhideWhenUsed/>
    <w:rsid w:val="001606EF"/>
    <w:rPr>
      <w:b/>
      <w:bCs/>
    </w:rPr>
  </w:style>
  <w:style w:type="character" w:customStyle="1" w:styleId="KommentarthemaZchn">
    <w:name w:val="Kommentarthema Zchn"/>
    <w:basedOn w:val="KommentartextZchn"/>
    <w:link w:val="Kommentarthema"/>
    <w:uiPriority w:val="99"/>
    <w:semiHidden/>
    <w:rsid w:val="001606EF"/>
    <w:rPr>
      <w:rFonts w:ascii="Trebuchet MS" w:hAnsi="Trebuchet MS" w:cs="Times New Roman"/>
      <w:b/>
      <w:bCs/>
      <w:sz w:val="20"/>
      <w:szCs w:val="20"/>
      <w:lang w:val="de-DE" w:eastAsia="de-DE"/>
    </w:rPr>
  </w:style>
  <w:style w:type="paragraph" w:styleId="Kopfzeile">
    <w:name w:val="header"/>
    <w:basedOn w:val="Standard"/>
    <w:link w:val="KopfzeileZchn"/>
    <w:uiPriority w:val="99"/>
    <w:unhideWhenUsed/>
    <w:rsid w:val="004334F2"/>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4334F2"/>
    <w:rPr>
      <w:rFonts w:ascii="Trebuchet MS" w:eastAsiaTheme="minorHAnsi" w:hAnsi="Trebuchet MS" w:cs="Times New Roman"/>
      <w:lang w:eastAsia="de-DE"/>
    </w:rPr>
  </w:style>
  <w:style w:type="paragraph" w:styleId="Fuzeile">
    <w:name w:val="footer"/>
    <w:basedOn w:val="Standard"/>
    <w:link w:val="FuzeileZchn"/>
    <w:uiPriority w:val="99"/>
    <w:unhideWhenUsed/>
    <w:rsid w:val="004334F2"/>
    <w:pPr>
      <w:tabs>
        <w:tab w:val="center" w:pos="4536"/>
        <w:tab w:val="right" w:pos="9072"/>
      </w:tabs>
      <w:spacing w:line="240" w:lineRule="auto"/>
    </w:pPr>
  </w:style>
  <w:style w:type="character" w:customStyle="1" w:styleId="FuzeileZchn">
    <w:name w:val="Fußzeile Zchn"/>
    <w:basedOn w:val="Absatz-Standardschriftart"/>
    <w:link w:val="Fuzeile"/>
    <w:uiPriority w:val="99"/>
    <w:rsid w:val="004334F2"/>
    <w:rPr>
      <w:rFonts w:ascii="Trebuchet MS" w:eastAsiaTheme="minorHAnsi" w:hAnsi="Trebuchet MS" w:cs="Times New Roman"/>
      <w:lang w:eastAsia="de-DE"/>
    </w:rPr>
  </w:style>
  <w:style w:type="paragraph" w:styleId="Aufzhlungszeichen">
    <w:name w:val="List Bullet"/>
    <w:basedOn w:val="Standard"/>
    <w:uiPriority w:val="99"/>
    <w:unhideWhenUsed/>
    <w:rsid w:val="00802BAC"/>
    <w:pPr>
      <w:numPr>
        <w:numId w:val="14"/>
      </w:numPr>
      <w:contextualSpacing/>
    </w:pPr>
  </w:style>
  <w:style w:type="character" w:styleId="Funotenzeichen">
    <w:name w:val="footnote reference"/>
    <w:uiPriority w:val="99"/>
    <w:semiHidden/>
    <w:unhideWhenUsed/>
    <w:rsid w:val="00A114E6"/>
    <w:rPr>
      <w:position w:val="6"/>
      <w:sz w:val="16"/>
    </w:rPr>
  </w:style>
  <w:style w:type="character" w:customStyle="1" w:styleId="BeschriftungZchn">
    <w:name w:val="Beschriftung Zchn"/>
    <w:basedOn w:val="Absatz-Standardschriftart"/>
    <w:link w:val="Beschriftung"/>
    <w:semiHidden/>
    <w:locked/>
    <w:rsid w:val="003659AC"/>
    <w:rPr>
      <w:rFonts w:ascii="Verdana" w:hAnsi="Verdana"/>
      <w:b/>
      <w:szCs w:val="18"/>
      <w:lang w:eastAsia="de-DE"/>
    </w:rPr>
  </w:style>
  <w:style w:type="paragraph" w:styleId="Beschriftung">
    <w:name w:val="caption"/>
    <w:basedOn w:val="Standard"/>
    <w:next w:val="Standard"/>
    <w:link w:val="BeschriftungZchn"/>
    <w:autoRedefine/>
    <w:semiHidden/>
    <w:unhideWhenUsed/>
    <w:qFormat/>
    <w:rsid w:val="003659AC"/>
    <w:pPr>
      <w:keepNext/>
      <w:pBdr>
        <w:bottom w:val="single" w:sz="4" w:space="1" w:color="auto"/>
      </w:pBdr>
      <w:overflowPunct w:val="0"/>
      <w:autoSpaceDE w:val="0"/>
      <w:autoSpaceDN w:val="0"/>
      <w:adjustRightInd w:val="0"/>
      <w:spacing w:after="100" w:line="276" w:lineRule="auto"/>
      <w:ind w:left="1134" w:hanging="1134"/>
    </w:pPr>
    <w:rPr>
      <w:rFonts w:ascii="Verdana" w:eastAsia="Times New Roman" w:hAnsi="Verdana" w:cstheme="minorBidi"/>
      <w:b/>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de-AT" w:eastAsia="en-US" w:bidi="ar-SA"/>
      </w:rPr>
    </w:rPrDefault>
    <w:pPrDefault>
      <w:pPr>
        <w:spacing w:line="28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2DED"/>
    <w:rPr>
      <w:rFonts w:ascii="Trebuchet MS" w:eastAsiaTheme="minorHAnsi" w:hAnsi="Trebuchet MS" w:cs="Times New Roman"/>
      <w:lang w:eastAsia="de-DE"/>
    </w:rPr>
  </w:style>
  <w:style w:type="paragraph" w:styleId="berschrift1">
    <w:name w:val="heading 1"/>
    <w:basedOn w:val="Standard"/>
    <w:next w:val="Standard"/>
    <w:link w:val="berschrift1Zchn"/>
    <w:qFormat/>
    <w:rsid w:val="00BC2477"/>
    <w:pPr>
      <w:keepNext/>
      <w:pageBreakBefore/>
      <w:spacing w:after="360"/>
      <w:outlineLvl w:val="0"/>
    </w:pPr>
    <w:rPr>
      <w:rFonts w:ascii="Optima" w:hAnsi="Optima"/>
      <w:b/>
      <w:caps/>
      <w:kern w:val="28"/>
      <w:sz w:val="48"/>
    </w:rPr>
  </w:style>
  <w:style w:type="paragraph" w:styleId="berschrift2">
    <w:name w:val="heading 2"/>
    <w:basedOn w:val="Standard"/>
    <w:next w:val="Standard"/>
    <w:link w:val="berschrift2Zchn"/>
    <w:qFormat/>
    <w:rsid w:val="00BC2477"/>
    <w:pPr>
      <w:keepNext/>
      <w:spacing w:before="240" w:after="240"/>
      <w:outlineLvl w:val="1"/>
    </w:pPr>
    <w:rPr>
      <w:rFonts w:ascii="Optima" w:hAnsi="Optima"/>
      <w:b/>
      <w:caps/>
      <w:sz w:val="32"/>
    </w:rPr>
  </w:style>
  <w:style w:type="paragraph" w:styleId="berschrift3">
    <w:name w:val="heading 3"/>
    <w:basedOn w:val="Standard"/>
    <w:next w:val="Standard"/>
    <w:link w:val="berschrift3Zchn"/>
    <w:qFormat/>
    <w:rsid w:val="00BC2477"/>
    <w:pPr>
      <w:keepNext/>
      <w:spacing w:before="240" w:after="240"/>
      <w:outlineLvl w:val="2"/>
    </w:pPr>
    <w:rPr>
      <w:rFonts w:ascii="Optima" w:hAnsi="Optima"/>
      <w:b/>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385222"/>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85222"/>
    <w:rPr>
      <w:rFonts w:ascii="Tahoma" w:hAnsi="Tahoma" w:cs="Tahoma"/>
      <w:sz w:val="16"/>
      <w:szCs w:val="16"/>
    </w:rPr>
  </w:style>
  <w:style w:type="paragraph" w:styleId="Funotentext">
    <w:name w:val="footnote text"/>
    <w:aliases w:val="Fußnotentext Char1,Fußnotentext Char2 Char,Fußnotentext Char1 Char Char,Fußnotentext Char2 Char Char Char,Fußnotentext Char1 Char Char Char Char,Fußnotentext Char Char Char Char Char Char Char,Fußnotentext Char2"/>
    <w:basedOn w:val="Standard"/>
    <w:link w:val="FunotentextZchn"/>
    <w:uiPriority w:val="99"/>
    <w:semiHidden/>
    <w:rsid w:val="00BC2477"/>
    <w:rPr>
      <w:sz w:val="18"/>
    </w:rPr>
  </w:style>
  <w:style w:type="character" w:customStyle="1" w:styleId="FunotentextZchn">
    <w:name w:val="Fußnotentext Zchn"/>
    <w:aliases w:val="Fußnotentext Char1 Zchn,Fußnotentext Char2 Char Zchn,Fußnotentext Char1 Char Char Zchn,Fußnotentext Char2 Char Char Char Zchn,Fußnotentext Char1 Char Char Char Char Zchn,Fußnotentext Char Char Char Char Char Char Char Zchn"/>
    <w:basedOn w:val="Absatz-Standardschriftart"/>
    <w:link w:val="Funotentext"/>
    <w:uiPriority w:val="99"/>
    <w:semiHidden/>
    <w:rsid w:val="00BC2477"/>
    <w:rPr>
      <w:rFonts w:ascii="Trebuchet MS" w:eastAsia="Times New Roman" w:hAnsi="Trebuchet MS" w:cs="Times New Roman"/>
      <w:sz w:val="18"/>
      <w:szCs w:val="20"/>
      <w:lang w:val="de-DE" w:eastAsia="de-DE"/>
    </w:rPr>
  </w:style>
  <w:style w:type="character" w:customStyle="1" w:styleId="berschrift1Zchn">
    <w:name w:val="Überschrift 1 Zchn"/>
    <w:basedOn w:val="Absatz-Standardschriftart"/>
    <w:link w:val="berschrift1"/>
    <w:rsid w:val="00BC2477"/>
    <w:rPr>
      <w:rFonts w:ascii="Optima" w:eastAsia="Times New Roman" w:hAnsi="Optima" w:cs="Times New Roman"/>
      <w:b/>
      <w:caps/>
      <w:kern w:val="28"/>
      <w:sz w:val="48"/>
      <w:szCs w:val="20"/>
      <w:lang w:val="de-DE" w:eastAsia="de-DE"/>
    </w:rPr>
  </w:style>
  <w:style w:type="character" w:customStyle="1" w:styleId="berschrift2Zchn">
    <w:name w:val="Überschrift 2 Zchn"/>
    <w:basedOn w:val="Absatz-Standardschriftart"/>
    <w:link w:val="berschrift2"/>
    <w:rsid w:val="00BC2477"/>
    <w:rPr>
      <w:rFonts w:ascii="Optima" w:eastAsia="Times New Roman" w:hAnsi="Optima" w:cs="Times New Roman"/>
      <w:b/>
      <w:caps/>
      <w:sz w:val="32"/>
      <w:szCs w:val="20"/>
      <w:lang w:val="de-DE" w:eastAsia="de-DE"/>
    </w:rPr>
  </w:style>
  <w:style w:type="character" w:customStyle="1" w:styleId="berschrift3Zchn">
    <w:name w:val="Überschrift 3 Zchn"/>
    <w:basedOn w:val="Absatz-Standardschriftart"/>
    <w:link w:val="berschrift3"/>
    <w:rsid w:val="00BC2477"/>
    <w:rPr>
      <w:rFonts w:ascii="Optima" w:eastAsia="Times New Roman" w:hAnsi="Optima" w:cs="Times New Roman"/>
      <w:b/>
      <w:sz w:val="28"/>
      <w:szCs w:val="20"/>
      <w:lang w:val="de-DE" w:eastAsia="de-DE"/>
    </w:rPr>
  </w:style>
  <w:style w:type="paragraph" w:styleId="Listenabsatz">
    <w:name w:val="List Paragraph"/>
    <w:basedOn w:val="Standard"/>
    <w:uiPriority w:val="34"/>
    <w:qFormat/>
    <w:rsid w:val="009E7121"/>
    <w:pPr>
      <w:ind w:left="720"/>
      <w:contextualSpacing/>
    </w:pPr>
  </w:style>
  <w:style w:type="paragraph" w:customStyle="1" w:styleId="Default">
    <w:name w:val="Default"/>
    <w:rsid w:val="009E7121"/>
    <w:pPr>
      <w:autoSpaceDE w:val="0"/>
      <w:autoSpaceDN w:val="0"/>
      <w:adjustRightInd w:val="0"/>
      <w:spacing w:line="240" w:lineRule="auto"/>
    </w:pPr>
    <w:rPr>
      <w:rFonts w:ascii="Verdana" w:hAnsi="Verdana" w:cs="Verdana"/>
      <w:color w:val="000000"/>
      <w:sz w:val="24"/>
      <w:szCs w:val="24"/>
    </w:rPr>
  </w:style>
  <w:style w:type="character" w:styleId="Hyperlink">
    <w:name w:val="Hyperlink"/>
    <w:basedOn w:val="Absatz-Standardschriftart"/>
    <w:uiPriority w:val="99"/>
    <w:unhideWhenUsed/>
    <w:rsid w:val="00E2168C"/>
    <w:rPr>
      <w:color w:val="002060" w:themeColor="hyperlink"/>
      <w:u w:val="single"/>
    </w:rPr>
  </w:style>
  <w:style w:type="character" w:styleId="BesuchterHyperlink">
    <w:name w:val="FollowedHyperlink"/>
    <w:basedOn w:val="Absatz-Standardschriftart"/>
    <w:uiPriority w:val="99"/>
    <w:semiHidden/>
    <w:unhideWhenUsed/>
    <w:rsid w:val="009842EC"/>
    <w:rPr>
      <w:color w:val="919191" w:themeColor="followedHyperlink"/>
      <w:u w:val="single"/>
    </w:rPr>
  </w:style>
  <w:style w:type="character" w:styleId="Kommentarzeichen">
    <w:name w:val="annotation reference"/>
    <w:basedOn w:val="Absatz-Standardschriftart"/>
    <w:uiPriority w:val="99"/>
    <w:semiHidden/>
    <w:unhideWhenUsed/>
    <w:rsid w:val="001606EF"/>
    <w:rPr>
      <w:sz w:val="16"/>
      <w:szCs w:val="16"/>
    </w:rPr>
  </w:style>
  <w:style w:type="paragraph" w:styleId="Kommentartext">
    <w:name w:val="annotation text"/>
    <w:basedOn w:val="Standard"/>
    <w:link w:val="KommentartextZchn"/>
    <w:uiPriority w:val="99"/>
    <w:semiHidden/>
    <w:unhideWhenUsed/>
    <w:rsid w:val="001606EF"/>
    <w:pPr>
      <w:spacing w:line="240" w:lineRule="auto"/>
    </w:pPr>
    <w:rPr>
      <w:sz w:val="20"/>
    </w:rPr>
  </w:style>
  <w:style w:type="character" w:customStyle="1" w:styleId="KommentartextZchn">
    <w:name w:val="Kommentartext Zchn"/>
    <w:basedOn w:val="Absatz-Standardschriftart"/>
    <w:link w:val="Kommentartext"/>
    <w:uiPriority w:val="99"/>
    <w:semiHidden/>
    <w:rsid w:val="001606EF"/>
    <w:rPr>
      <w:rFonts w:ascii="Trebuchet MS" w:hAnsi="Trebuchet MS" w:cs="Times New Roman"/>
      <w:sz w:val="20"/>
      <w:szCs w:val="20"/>
      <w:lang w:val="de-DE" w:eastAsia="de-DE"/>
    </w:rPr>
  </w:style>
  <w:style w:type="paragraph" w:styleId="Kommentarthema">
    <w:name w:val="annotation subject"/>
    <w:basedOn w:val="Kommentartext"/>
    <w:next w:val="Kommentartext"/>
    <w:link w:val="KommentarthemaZchn"/>
    <w:uiPriority w:val="99"/>
    <w:semiHidden/>
    <w:unhideWhenUsed/>
    <w:rsid w:val="001606EF"/>
    <w:rPr>
      <w:b/>
      <w:bCs/>
    </w:rPr>
  </w:style>
  <w:style w:type="character" w:customStyle="1" w:styleId="KommentarthemaZchn">
    <w:name w:val="Kommentarthema Zchn"/>
    <w:basedOn w:val="KommentartextZchn"/>
    <w:link w:val="Kommentarthema"/>
    <w:uiPriority w:val="99"/>
    <w:semiHidden/>
    <w:rsid w:val="001606EF"/>
    <w:rPr>
      <w:rFonts w:ascii="Trebuchet MS" w:hAnsi="Trebuchet MS" w:cs="Times New Roman"/>
      <w:b/>
      <w:bCs/>
      <w:sz w:val="20"/>
      <w:szCs w:val="20"/>
      <w:lang w:val="de-DE" w:eastAsia="de-DE"/>
    </w:rPr>
  </w:style>
  <w:style w:type="paragraph" w:styleId="Kopfzeile">
    <w:name w:val="header"/>
    <w:basedOn w:val="Standard"/>
    <w:link w:val="KopfzeileZchn"/>
    <w:uiPriority w:val="99"/>
    <w:unhideWhenUsed/>
    <w:rsid w:val="004334F2"/>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4334F2"/>
    <w:rPr>
      <w:rFonts w:ascii="Trebuchet MS" w:eastAsiaTheme="minorHAnsi" w:hAnsi="Trebuchet MS" w:cs="Times New Roman"/>
      <w:lang w:eastAsia="de-DE"/>
    </w:rPr>
  </w:style>
  <w:style w:type="paragraph" w:styleId="Fuzeile">
    <w:name w:val="footer"/>
    <w:basedOn w:val="Standard"/>
    <w:link w:val="FuzeileZchn"/>
    <w:uiPriority w:val="99"/>
    <w:unhideWhenUsed/>
    <w:rsid w:val="004334F2"/>
    <w:pPr>
      <w:tabs>
        <w:tab w:val="center" w:pos="4536"/>
        <w:tab w:val="right" w:pos="9072"/>
      </w:tabs>
      <w:spacing w:line="240" w:lineRule="auto"/>
    </w:pPr>
  </w:style>
  <w:style w:type="character" w:customStyle="1" w:styleId="FuzeileZchn">
    <w:name w:val="Fußzeile Zchn"/>
    <w:basedOn w:val="Absatz-Standardschriftart"/>
    <w:link w:val="Fuzeile"/>
    <w:uiPriority w:val="99"/>
    <w:rsid w:val="004334F2"/>
    <w:rPr>
      <w:rFonts w:ascii="Trebuchet MS" w:eastAsiaTheme="minorHAnsi" w:hAnsi="Trebuchet MS" w:cs="Times New Roman"/>
      <w:lang w:eastAsia="de-DE"/>
    </w:rPr>
  </w:style>
  <w:style w:type="paragraph" w:styleId="Aufzhlungszeichen">
    <w:name w:val="List Bullet"/>
    <w:basedOn w:val="Standard"/>
    <w:uiPriority w:val="99"/>
    <w:unhideWhenUsed/>
    <w:rsid w:val="00802BAC"/>
    <w:pPr>
      <w:numPr>
        <w:numId w:val="14"/>
      </w:numPr>
      <w:contextualSpacing/>
    </w:pPr>
  </w:style>
  <w:style w:type="character" w:styleId="Funotenzeichen">
    <w:name w:val="footnote reference"/>
    <w:uiPriority w:val="99"/>
    <w:semiHidden/>
    <w:unhideWhenUsed/>
    <w:rsid w:val="00A114E6"/>
    <w:rPr>
      <w:position w:val="6"/>
      <w:sz w:val="16"/>
    </w:rPr>
  </w:style>
  <w:style w:type="character" w:customStyle="1" w:styleId="BeschriftungZchn">
    <w:name w:val="Beschriftung Zchn"/>
    <w:basedOn w:val="Absatz-Standardschriftart"/>
    <w:link w:val="Beschriftung"/>
    <w:semiHidden/>
    <w:locked/>
    <w:rsid w:val="003659AC"/>
    <w:rPr>
      <w:rFonts w:ascii="Verdana" w:hAnsi="Verdana"/>
      <w:b/>
      <w:szCs w:val="18"/>
      <w:lang w:eastAsia="de-DE"/>
    </w:rPr>
  </w:style>
  <w:style w:type="paragraph" w:styleId="Beschriftung">
    <w:name w:val="caption"/>
    <w:basedOn w:val="Standard"/>
    <w:next w:val="Standard"/>
    <w:link w:val="BeschriftungZchn"/>
    <w:autoRedefine/>
    <w:semiHidden/>
    <w:unhideWhenUsed/>
    <w:qFormat/>
    <w:rsid w:val="003659AC"/>
    <w:pPr>
      <w:keepNext/>
      <w:pBdr>
        <w:bottom w:val="single" w:sz="4" w:space="1" w:color="auto"/>
      </w:pBdr>
      <w:overflowPunct w:val="0"/>
      <w:autoSpaceDE w:val="0"/>
      <w:autoSpaceDN w:val="0"/>
      <w:adjustRightInd w:val="0"/>
      <w:spacing w:after="100" w:line="276" w:lineRule="auto"/>
      <w:ind w:left="1134" w:hanging="1134"/>
    </w:pPr>
    <w:rPr>
      <w:rFonts w:ascii="Verdana" w:eastAsia="Times New Roman" w:hAnsi="Verdana" w:cstheme="minorBidi"/>
      <w:b/>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56825">
      <w:bodyDiv w:val="1"/>
      <w:marLeft w:val="0"/>
      <w:marRight w:val="0"/>
      <w:marTop w:val="0"/>
      <w:marBottom w:val="0"/>
      <w:divBdr>
        <w:top w:val="none" w:sz="0" w:space="0" w:color="auto"/>
        <w:left w:val="none" w:sz="0" w:space="0" w:color="auto"/>
        <w:bottom w:val="none" w:sz="0" w:space="0" w:color="auto"/>
        <w:right w:val="none" w:sz="0" w:space="0" w:color="auto"/>
      </w:divBdr>
    </w:div>
    <w:div w:id="279142661">
      <w:bodyDiv w:val="1"/>
      <w:marLeft w:val="0"/>
      <w:marRight w:val="0"/>
      <w:marTop w:val="0"/>
      <w:marBottom w:val="0"/>
      <w:divBdr>
        <w:top w:val="none" w:sz="0" w:space="0" w:color="auto"/>
        <w:left w:val="none" w:sz="0" w:space="0" w:color="auto"/>
        <w:bottom w:val="none" w:sz="0" w:space="0" w:color="auto"/>
        <w:right w:val="none" w:sz="0" w:space="0" w:color="auto"/>
      </w:divBdr>
    </w:div>
    <w:div w:id="1456291879">
      <w:bodyDiv w:val="1"/>
      <w:marLeft w:val="0"/>
      <w:marRight w:val="0"/>
      <w:marTop w:val="0"/>
      <w:marBottom w:val="0"/>
      <w:divBdr>
        <w:top w:val="none" w:sz="0" w:space="0" w:color="auto"/>
        <w:left w:val="none" w:sz="0" w:space="0" w:color="auto"/>
        <w:bottom w:val="none" w:sz="0" w:space="0" w:color="auto"/>
        <w:right w:val="none" w:sz="0" w:space="0" w:color="auto"/>
      </w:divBdr>
    </w:div>
    <w:div w:id="1592274839">
      <w:bodyDiv w:val="1"/>
      <w:marLeft w:val="0"/>
      <w:marRight w:val="0"/>
      <w:marTop w:val="0"/>
      <w:marBottom w:val="0"/>
      <w:divBdr>
        <w:top w:val="none" w:sz="0" w:space="0" w:color="auto"/>
        <w:left w:val="none" w:sz="0" w:space="0" w:color="auto"/>
        <w:bottom w:val="none" w:sz="0" w:space="0" w:color="auto"/>
        <w:right w:val="none" w:sz="0" w:space="0" w:color="auto"/>
      </w:divBdr>
    </w:div>
    <w:div w:id="1692797508">
      <w:bodyDiv w:val="1"/>
      <w:marLeft w:val="0"/>
      <w:marRight w:val="0"/>
      <w:marTop w:val="0"/>
      <w:marBottom w:val="0"/>
      <w:divBdr>
        <w:top w:val="none" w:sz="0" w:space="0" w:color="auto"/>
        <w:left w:val="none" w:sz="0" w:space="0" w:color="auto"/>
        <w:bottom w:val="none" w:sz="0" w:space="0" w:color="auto"/>
        <w:right w:val="none" w:sz="0" w:space="0" w:color="auto"/>
      </w:divBdr>
    </w:div>
    <w:div w:id="1790927456">
      <w:bodyDiv w:val="1"/>
      <w:marLeft w:val="0"/>
      <w:marRight w:val="0"/>
      <w:marTop w:val="0"/>
      <w:marBottom w:val="0"/>
      <w:divBdr>
        <w:top w:val="none" w:sz="0" w:space="0" w:color="auto"/>
        <w:left w:val="none" w:sz="0" w:space="0" w:color="auto"/>
        <w:bottom w:val="none" w:sz="0" w:space="0" w:color="auto"/>
        <w:right w:val="none" w:sz="0" w:space="0" w:color="auto"/>
      </w:divBdr>
    </w:div>
    <w:div w:id="1801537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Larissa-Design">
  <a:themeElements>
    <a:clrScheme name="WKO">
      <a:dk1>
        <a:sysClr val="windowText" lastClr="000000"/>
      </a:dk1>
      <a:lt1>
        <a:sysClr val="window" lastClr="FFFFFF"/>
      </a:lt1>
      <a:dk2>
        <a:srgbClr val="000000"/>
      </a:dk2>
      <a:lt2>
        <a:srgbClr val="F8F8F8"/>
      </a:lt2>
      <a:accent1>
        <a:srgbClr val="DDDDDD"/>
      </a:accent1>
      <a:accent2>
        <a:srgbClr val="B2B2B2"/>
      </a:accent2>
      <a:accent3>
        <a:srgbClr val="FF0000"/>
      </a:accent3>
      <a:accent4>
        <a:srgbClr val="808080"/>
      </a:accent4>
      <a:accent5>
        <a:srgbClr val="5F5F5F"/>
      </a:accent5>
      <a:accent6>
        <a:srgbClr val="4D4D4D"/>
      </a:accent6>
      <a:hlink>
        <a:srgbClr val="002060"/>
      </a:hlink>
      <a:folHlink>
        <a:srgbClr val="919191"/>
      </a:folHlink>
    </a:clrScheme>
    <a:fontScheme name="WKO">
      <a:majorFont>
        <a:latin typeface="Trebuchet MS"/>
        <a:ea typeface=""/>
        <a:cs typeface=""/>
      </a:majorFont>
      <a:minorFont>
        <a:latin typeface="Trebuchet MS"/>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2281</Words>
  <Characters>14372</Characters>
  <Application>Microsoft Office Word</Application>
  <DocSecurity>4</DocSecurity>
  <Lines>119</Lines>
  <Paragraphs>33</Paragraphs>
  <ScaleCrop>false</ScaleCrop>
  <HeadingPairs>
    <vt:vector size="2" baseType="variant">
      <vt:variant>
        <vt:lpstr>Titel</vt:lpstr>
      </vt:variant>
      <vt:variant>
        <vt:i4>1</vt:i4>
      </vt:variant>
    </vt:vector>
  </HeadingPairs>
  <TitlesOfParts>
    <vt:vector size="1" baseType="lpstr">
      <vt:lpstr/>
    </vt:vector>
  </TitlesOfParts>
  <Company>WKO</Company>
  <LinksUpToDate>false</LinksUpToDate>
  <CharactersWithSpaces>16620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Determann Claudius, Mag., WKÖ IC4</dc:creator>
  <cp:lastModifiedBy>Winkelmayer Peter, Ing, Mag, Dr, FEEI</cp:lastModifiedBy>
  <cp:revision>2</cp:revision>
  <cp:lastPrinted>2020-03-17T10:09:00Z</cp:lastPrinted>
  <dcterms:created xsi:type="dcterms:W3CDTF">2020-03-17T10:12:00Z</dcterms:created>
  <dcterms:modified xsi:type="dcterms:W3CDTF">2020-03-17T10:12:00Z</dcterms:modified>
</cp:coreProperties>
</file>